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ZBH</w:t>
      </w:r>
      <w:r>
        <w:rPr>
          <w:rFonts w:ascii="Calibri" w:hAnsi="Calibri"/>
          <w:b/>
          <w:color w:val="1A2010"/>
          <w:sz w:val="40"/>
        </w:rPr>
        <w:t xml:space="preserve">  Zimmer Biomet Holdings, Inc.</w:t>
      </w:r>
    </w:p>
    <w:p>
      <w:pPr>
        <w:spacing w:after="120"/>
      </w:pPr>
      <w:r>
        <w:rPr>
          <w:rFonts w:ascii="Calibri" w:hAnsi="Calibri"/>
          <w:b/>
          <w:color w:val="6E8450"/>
          <w:sz w:val="18"/>
        </w:rPr>
        <w:t>GROWTH SLEEVE · 2026-07-16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Zimmer Biomet Holdings designs, manufactures, and markets orthopedic reconstructive products including knee and hip implants, the ROSA robotic-assisted surgery platform, sports medicine solutions, extremity and trauma products, and spine devices. The company acquired Paragon 28 (foot/ankle) in 2024 and Monogram Technologies (AI-navigated robotic surgery) in 2025. Following the 2022 ZimVie spin-off, the company focuses on core orthopedic and robotic surgery markets. Headquartered in Warsaw, Indiana.</w:t>
      </w:r>
    </w:p>
    <w:p>
      <w:r>
        <w:rPr>
          <w:rFonts w:ascii="Calibri" w:hAnsi="Calibri"/>
          <w:b/>
          <w:color w:val="6E8450"/>
          <w:sz w:val="18"/>
        </w:rPr>
        <w:t>18,000 Employees · https://www.zimmerbiomet.com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Zimmer Biomet expanded the ROSA robotic platform from knee to hip and brain applications and acquired both Paragon 28 ($1.4B, foot/ankle segment) and Monogram Technologies (AI-navigated semi-autonomous mBos robot with FDA clearance in March 2026 for total knee replacement), representing significant portfolio transformation [1][2]. AI Deployment (1/2): The company has collected 44 million days of patient data feeding surgical planning algorithms, and the Monogram mBos system uses AI navigation for semi-autonomous bone cutting — however, the mBos robot is not yet commercially launched (planned early 2027) so measurable revenue impact is still pending [2]. Market Share (1/2): Zimmer Biomet is the #2 global orthopedic company, with dominant positions in knee and hip reconstruction, though the company has been losing US market share during the sales force transition, with Stryker widening its robotic surgery lead via MAKO [1]. Product Pipeline (1/2): Enhanced ROSA Knee technology received FDA clearance in 2026, and Monogram mBos launch planned for early 2027 with Zimmer's Persona knee implants represents a specific next-gen product [2]. R&amp;D Intensity (1/1): R&amp;D spending supplemented by meaningful M&amp;A investment in innovation (Monogram acquisition) puts total innovation investment above medtech peers when including acquisition-driven R&amp;D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Zimmer Biomet's mission — 'alleviating pain and improving the quality of life for people around the world' — clearly identifies what the company does and connects orthopedic products to patient outcomes, but is not distinctive among medtech peers and could apply to any implant maker [2]. Community Impact (1/2): SBTi commitment to net-zero GHG emissions by 2050, solar farm generating 163,000+ MWh annually, $5M commitment over five years to organizations combating racism, and support for the Movement is Life coalition addressing musculoskeletal health disparities — general corporate philanthropy programs [3]. Employee Retention (0/2): No specific employee tenure or voluntary turnover data publicly available. Notable leadership instability — CFO Suketu Upadhyay departed April 2026, CEO Ivan Tornos transitioning to Non-Executive Chairman, multiple C-suite appointments in 2025-2026 suggest organizational flux [2]. Insider Buying (0/2): Net insider selling in recent months — Asia Pacific Group President Sang Yi sold 5,000 shares ($413K) in June 2026; CEO Tornos exercised RSUs but withheld shares for taxes rather than making open-market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D/E of 60% scores 1.0 (well within 70% target), though absolute debt of $7.59B against $478M cash reflects acquisition leverage [1]. ROE of 6.06% scores 0.40 (below 15% target, depressed by goodwill-heavy asset base). Revenue growth YoY of 7.2% scores 0.91. Revenue growth 5yr CAGR of approximately 5.8% scores 0.72. Forward P/E of 10.62 scores 1.0 (well below 20 target). Profit margin of 9.05% scores 0.45 (GAAP earnings depressed by restructuring charges; adjusted earnings suggest higher underlying profitability). Forward PEG of 2.07 scores 0.47. Weighted sum: 1.0 + 2(0.40) + 0.91 + 2(0.72) + 1.0 + 0.45 + 2(0.47) = 6.54/10 = Infrastructure 7 [1]. Liquidity: 2.37M avg volume x $90.14 = $213.6M daily, well above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Zimmer Biomet shows infinite game potential — the costly US sales force restructuring and investment in robotic surgery demonstrate willingness to sacrifice near-term results for long-term capability. However, frequent leadership transitions (CEO stepping to chairman, CFO departed), serial M&amp;A strategy, and the ZimVie spin-off suggest a company still searching for its optimal strategic identity rather than executing a decades-long vision with stable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Zimmer Biomet's purpose of alleviating pain and improving quality of life through musculoskeletal healthcare is genuine and connects the company's products to patient outcomes. The investment in ROSA robotics and AI-assisted surgery demonstrates the cause shaping strategic decisions beyond profit [2]. However, the cause has not been validated through decades of consistent execution under stable leadership — the company has undergone the Biomet merger (2015), ZimVie spin-off (2022), Paragon 28 acquisition (2024), and Monogram acquisition (2025), suggesting the 'how' keeps changing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Executive team rated in the top 30% of similarly sized companies, suggesting reasonable organizational health [2]. However, the departure of CFO Suketu Upadhyay in April 2026, CEO Tornos' transition to non-executive chairman, and appointment of an interim CFO create leadership instability. Multiple new C-suite hires in 2025-2026 (Chief Strategy Officer, Chief Science Officer) indicate an organization in structural transition rather than steady-state trust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Zimmer Biomet's decision to overhaul its US sales force toward a 'predominantly direct and specialized' model appears directly inspired by Stryker's successful direct sales approach, demonstrating willingness to learn from a rival's strengths rather than dismissing them [1]. The Monogram mBos acquisition was a constructive response to Stryker's MAKO dominance. Management frames competition around improving surgical outcomes and portfolio competitiveness rather than 'defeating'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Zimmer Biomet has evolved meaningfully — spinning off ZimVie (dental/spine) to focus on core orthopedics, acquiring Paragon 28 to enter foot/ankle, acquiring Monogram for AI-navigated robotics, and restructuring the US sales force [1]. These represent genuine strategic adaptation, but are incremental portfolio adjustments and competitive catch-up plays rather than transformative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US sales force restructuring — directly reducing 2026 guidance to 1-3% organic growth to build a 'durable long-term growth' platform — is a classically courageous move that sacrifices near-term earnings for long-term capability [1]. The $1.5B share repurchase authorization during strategic transition shows capital allocation conviction. However, this is a single recent example; the broader track record shows reliance on M&amp;A for growth rather than sustained organic investment during downturns.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Zimmer Biomet is the #2 global orthopedic franchise trading at 10.6x forward P/E, offering deep value for an $18B medtech company generating $8.2B in revenue (up 7.2% YoY) and $1.17B in free cash flow [1]. The AI-enabled robotic surgery strategy — ROSA platform plus Monogram mBos semi-autonomous robot launching 2027 — positions Zimmer at the frontier of surgical innovation, powered by 44 million days of patient data [2]. D/E of 60% provides balance sheet discipline, and the company's structural AI resilience as a physical-product manufacturer in a regulated industry offers defensive characteristics. Forward P/E of 10.6x vs. Stryker's premium multiple reflects a significant valuation gap that could narrow as the sales force transition completes.</w:t>
      </w:r>
    </w:p>
    <w:p>
      <w:pPr>
        <w:spacing w:after="120"/>
      </w:pPr>
      <w:r>
        <w:rPr>
          <w:rFonts w:ascii="Calibri" w:hAnsi="Calibri"/>
          <w:b w:val="0"/>
          <w:color w:val="3A4A28"/>
          <w:sz w:val="20"/>
        </w:rPr>
        <w:t>The bear case centers on execution risk from simultaneous strategic transitions. The 2026 organic growth guidance of 1-3% reflects real disruption from the US sales force restructuring, with no guarantee the direct model will outperform the established distributor network [1]. Leadership instability — CEO transitioning to chairman, CFO departed, interim CFO appointed — creates strategic uncertainty at a critical moment. ROE of 6% is subpar, reflecting goodwill dilution from serial acquisitions, and $7.59B debt against $478M cash leaves limited margin for error [1]. Stryker's MAKO robotic system has a significant installed base advantage, and J&amp;J's ongoing surgical technology investments create sustained competitive pressure. The Monogram mBos 2027 launch carries integration and commercialization risk. Inspiration score of 3 reflects weak mission distinctiveness and net insider selling, suggesting leadership may lack long-term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Monogram mBos semi-autonomous AI-navigated knee robot launching early 2027 with Zimmer's Persona implants, representing a potentially differentiated surgical platform vs. Stryker MAKO [2]</w:t>
      </w:r>
    </w:p>
    <w:p>
      <w:pPr>
        <w:spacing w:before="40" w:after="40"/>
        <w:ind w:left="283"/>
      </w:pPr>
      <w:r>
        <w:rPr>
          <w:rFonts w:ascii="Calibri" w:hAnsi="Calibri"/>
          <w:b/>
          <w:color w:val="4A6B25"/>
          <w:sz w:val="20"/>
        </w:rPr>
        <w:t xml:space="preserve">2. </w:t>
      </w:r>
      <w:r>
        <w:rPr>
          <w:rFonts w:ascii="Calibri" w:hAnsi="Calibri"/>
          <w:b w:val="0"/>
          <w:color w:val="3A4A28"/>
          <w:sz w:val="20"/>
        </w:rPr>
        <w:t>US sales force transition completion expected to drive organic growth acceleration to 4-5% by 2027 as the specialized direct model gains traction with surgeons [1]</w:t>
      </w:r>
    </w:p>
    <w:p>
      <w:pPr>
        <w:spacing w:before="40" w:after="40"/>
        <w:ind w:left="283"/>
      </w:pPr>
      <w:r>
        <w:rPr>
          <w:rFonts w:ascii="Calibri" w:hAnsi="Calibri"/>
          <w:b/>
          <w:color w:val="4A6B25"/>
          <w:sz w:val="20"/>
        </w:rPr>
        <w:t xml:space="preserve">3. </w:t>
      </w:r>
      <w:r>
        <w:rPr>
          <w:rFonts w:ascii="Calibri" w:hAnsi="Calibri"/>
          <w:b w:val="0"/>
          <w:color w:val="3A4A28"/>
          <w:sz w:val="20"/>
        </w:rPr>
        <w:t>Forward P/E of 10.6x with $1.5B share repurchase authorization and $1.17B annual free cash flow provides meaningful valuation re-rating potential if execution improves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US sales force restructuring disrupts surgeon relationships and causes further market share losses to Stryker during the 12-18 month transition, extending the 1-3% organic growth guidance [1]</w:t>
      </w:r>
    </w:p>
    <w:p>
      <w:pPr>
        <w:spacing w:before="40" w:after="40"/>
        <w:ind w:left="283"/>
      </w:pPr>
      <w:r>
        <w:rPr>
          <w:rFonts w:ascii="Calibri" w:hAnsi="Calibri"/>
          <w:b/>
          <w:color w:val="4A6B25"/>
          <w:sz w:val="20"/>
        </w:rPr>
        <w:t xml:space="preserve">2. </w:t>
      </w:r>
      <w:r>
        <w:rPr>
          <w:rFonts w:ascii="Calibri" w:hAnsi="Calibri"/>
          <w:b w:val="0"/>
          <w:color w:val="3A4A28"/>
          <w:sz w:val="20"/>
        </w:rPr>
        <w:t>CEO succession uncertainty as Ivan Tornos transitions to non-executive chairman without a named successor, compounded by CFO departure and interim replacement creating leadership vacuum [2]</w:t>
      </w:r>
    </w:p>
    <w:p>
      <w:pPr>
        <w:spacing w:before="40" w:after="40"/>
        <w:ind w:left="283"/>
      </w:pPr>
      <w:r>
        <w:rPr>
          <w:rFonts w:ascii="Calibri" w:hAnsi="Calibri"/>
          <w:b/>
          <w:color w:val="4A6B25"/>
          <w:sz w:val="20"/>
        </w:rPr>
        <w:t xml:space="preserve">3. </w:t>
      </w:r>
      <w:r>
        <w:rPr>
          <w:rFonts w:ascii="Calibri" w:hAnsi="Calibri"/>
          <w:b w:val="0"/>
          <w:color w:val="3A4A28"/>
          <w:sz w:val="20"/>
        </w:rPr>
        <w:t>Debt burden of $7.59B constrains innovation investment while servicing acquisition-related obligations; GAAP profitability depressed by restructuring charges with ROE at only 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Zimmer Biomet's core business — manufacturing physical orthopedic implants (titanium knee and hip joints) and robotic surgical systems — is structurally immune to AI substitution [1]. AI cannot replace a physical implant or perform surgery without human oversight and physical robotic hardware. The business operates behind FDA-regulated device approval pathways, surgeon relationship moats, and physical manufacturing capabilities that AI structurally cannot displace. AI actually increases demand for Zimmer's products by enabling more precise surgeries and expanding the addressable patient population through better outcomes [2]. However, AI-driven surgical planning tools from competitors could commoditize some of Zimmer's software differentiation. AI Opportunity (1/1): Zimmer generates meaningful AI-related revenue through the ROSA robotic platform and the acquired Monogram mBos semi-autonomous AI-navigated surgical robot. The company's 44 million days of patient data power AI algorithms for surgical planning and decision-making, directly contributing to product differentiation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Zimmer Biomet Q4 and Full-Year 2025 Earnings Release — $8.23B revenue, 7.2% YoY growth, $8.20 adj EPS, $1.17B FCF, 2026 guidance 1-3% organic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Zimmer Biomet Corporate Communications — ROSA platform, Monogram mBos acquisition and FDA clearance, CEO Ivan Tornos transition, CFO departure, Jehanzeb Noor appointment, 44M days patient data, 2025-2026</w:t>
      </w:r>
    </w:p>
    <w:p>
      <w:pPr>
        <w:spacing w:before="20" w:after="20"/>
        <w:ind w:left="170"/>
      </w:pPr>
      <w:r>
        <w:rPr>
          <w:rFonts w:ascii="Calibri" w:hAnsi="Calibri"/>
          <w:b/>
          <w:color w:val="4A6B25"/>
          <w:sz w:val="15"/>
        </w:rPr>
        <w:t xml:space="preserve">3. </w:t>
      </w:r>
      <w:r>
        <w:rPr>
          <w:rFonts w:ascii="Calibri" w:hAnsi="Calibri"/>
          <w:b w:val="0"/>
          <w:color w:val="3A4A28"/>
          <w:sz w:val="17"/>
        </w:rPr>
        <w:t>Zimmer Biomet 2023 Sustainability Report — SBTi net-zero 2050 commitment, solar farm 163K MWh, $5M diversity commitment, Movement is Life coalition</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