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ZTO</w:t>
      </w:r>
      <w:r>
        <w:rPr>
          <w:rFonts w:ascii="Calibri" w:hAnsi="Calibri"/>
          <w:b/>
          <w:color w:val="1A2010"/>
          <w:sz w:val="40"/>
        </w:rPr>
        <w:t xml:space="preserve">  ZTO Express (Cayman) Inc.</w:t>
      </w:r>
    </w:p>
    <w:p>
      <w:pPr>
        <w:spacing w:after="120"/>
      </w:pPr>
      <w:r>
        <w:rPr>
          <w:rFonts w:ascii="Calibri" w:hAnsi="Calibri"/>
          <w:b/>
          <w:color w:val="6E8450"/>
          <w:sz w:val="18"/>
        </w:rPr>
        <w:t>DIVIDEND SLEEVE · 2026-07-16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Integrated Freight &amp; Logistics · NYSE · China</w:t>
      </w:r>
    </w:p>
    <w:p>
      <w:pPr>
        <w:spacing w:after="80"/>
      </w:pPr>
      <w:r>
        <w:rPr>
          <w:rFonts w:ascii="Calibri" w:hAnsi="Calibri"/>
          <w:b w:val="0"/>
          <w:color w:val="3A4A28"/>
          <w:sz w:val="20"/>
        </w:rPr>
        <w:t>ZTO Express is the largest express delivery company in China by parcel volume, delivering 38.52 billion parcels in 2025 and ranking first in the industry for ten consecutive years. The company operates a network-partner model providing express delivery and value-added logistics services primarily serving China's e-commerce ecosystem. Q1 2026 revenue grew 22% YoY to $1.93B, with parcel volume up 13.2% to 9.67 billion. Dual-listed on NYSE and HKEX.</w:t>
      </w:r>
    </w:p>
    <w:p>
      <w:r>
        <w:rPr>
          <w:rFonts w:ascii="Calibri" w:hAnsi="Calibri"/>
          <w:b/>
          <w:color w:val="6E8450"/>
          <w:sz w:val="18"/>
        </w:rPr>
        <w:t>50,000 Employees · https://www.zto.com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ZTO has maintained its position as China's largest express delivery company for ten consecutive years, growing parcel volume 13.3% YoY to 38.52 billion in 2025, but this represents scale execution within an existing business model rather than product innovation or transformative pivot [1]. AI Deployment (1/2): ZTO deploys AI-driven route planning and optimization, AI-powered vision systems for parcel identification and routing accuracy, and has piloted autonomous delivery vehicles in Tier-1 cities — measurable efficiency gains supporting the low-cost operating model but no separate AI revenue quantified [2]. Market Share (2/2): Undisputed market share leader in Chinese express delivery for a decade, handling more parcels than any competitor — this dominant position creates scale economies that competitors like SF Express, YTO, and STO struggle to match [1]. Pipeline (0/2): No next-generation products or transformative business model changes announced; growth driven by continued volume increases, network densification, and drone/smart-locker partnerships with vague timelines [2]. R&amp;D Intensity (1/1): Investment in automation, AI, and green logistics technology is above average for Chinese logistics companies, with ongoing development of autonomous delivery systems and smart sorting infrastructure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ZTO's stated mission of 'bringing happiness to more people through our services' is generic and interchangeable with any delivery or service company — it lacks distinctive purpose beyond operational efficiency [2]. Community Impact (1/2): ZTO invests in green logistics (electric vehicles, recyclable packaging), published annual ESG reports since 2019 with Board-level ESG Committee established in 2021, and the network-partner model provides income opportunities for hundreds of thousands of delivery workers across China [3]. Employee Retention (1/2): Founder-CEO Lai Meisong has led the company since 2002, providing exceptional 24-year leadership continuity; majority of senior management has been with the company since inception; ZTO University develops future leaders — evidence of above-average leadership stability [2]. Insider Buying (0/2): The $1.5B share buyback authorization and enhanced shareholder return program targeting 50%+ of adjusted net income represent corporate capital return, not personal insider buying; no evidence of open-market insider purchases by individual executives in the last 12 months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Dividend stock. D/E of 35% scores 1.0 (well below 70% target, conservative capital structure). ROE of 14.88% scores 0.99 (just below 15% target, reflecting efficient capital deployment). Revenue growth of 10.9% YoY scores 1.0 (at target, with Q1 2026 accelerating to 22% YoY). Revenue 5yr CAGR of approximately 14% scores 1.0. Forward P/E of 11.18 scores 1.0 (deeply discounted, reflecting China ADR risk premium). Profit margin of 17.88% scores 0.89 (strong for logistics). Payout ratio of 40.4% scores 0.99. Consecutive years paid of 5 scores 0.5 at 2x weight. Consecutive years growth of 2 scores 0.2. 5yr dividend growth CAGR of approximately 15% scores 1.0 at 2x weight. Weighted sum 10.08/12 = Infrastructure 8 [1]. Liquidity: 1.34M avg volume x $24.55 = $32.9M daily, well above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ZTO Express under founder-CEO Lai Meisong demonstrates meaningful infinite game qualities — 24 years of founder leadership, consistent reinvestment in network infrastructure, and a long-term vision of building China's logistics backbone. However, the company's mission is generic, competitive positioning centers on being the biggest rather than the best, and the network-partner model creates tension between headquarters efficiency goals and partner welfare. The infinite game orientation is operational rather than purpose-driven.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ZTO's purpose centers on being China's most efficient logistics network, which is fundamentally a scale-and-efficiency proposition rather than an aspirational vision of a better future [2]. Lai Meisong's founding vision to build logistics infrastructure for China's e-commerce boom was prescient, but the cause is now about maintaining market share leadership rather than advancing a larger purpose. The mission of 'bringing happiness through services' is marketing rather than a Just Cause that would inspire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Founder-CEO Lai Meisong's 24-year tenure provides exceptional leadership continuity and stability, and the majority of senior management has been with the company since inception [2]. The network-partner model creates distributed ownership where partners run their own operations, fostering entrepreneurial trust. ZTO University develops future leaders. However, frontline delivery worker conditions in Chinese logistics remain an industry-wide concern, and the franchisor-franchisee dynamic creates pricing tension.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ZTO operates in an intensely competitive Chinese express delivery market alongside SF Express, YTO, STO, Yunda, and Cainiao, and management commentary focuses on operational improvement and technology investment rather than competitor destruction [1]. The company's response to competition has been to invest in automation, AI, and service quality rather than engaging in destructive price wars — competitive language emphasizes self-improvement over market domination.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ZTO has expanded from pure express delivery to a broader logistics platform including freight forwarding, cross-border logistics, supply chain solutions, and smart-locker/drone networks [2]. The investment in green logistics and autonomous delivery represents meaningful operational evolution. However, the core business model remains fundamentally the same — network-based parcel delivery — and no transformative pivot has occurred.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ZTO's $1.5B share buyback authorization and enhanced shareholder return program targeting 50%+ of adjusted net income annually demonstrates capital allocation conviction at a time when China ADR sentiment is weak [1]. Sustained investment in automation and technology during industry price wars shows willingness to prioritize long-term capability. However, these are rational capital allocation decisions rather than truly courageous strategic bets that sacrifice near-term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ZTO Express is China's dominant express delivery company trading at 11.2x forward P/E with a PEG ratio of 0.83, offering exceptional value for a market leader delivering 38.52 billion parcels annually with 10.9% revenue growth and 17.88% profit margins [1]. Q1 2026 showed accelerating momentum with 22% revenue growth, and FY2026 parcel volume guidance of 10-13% outpaces the industry average of 8%. The balance sheet is fortress-like with D/E of 35%, and the enhanced shareholder return program targets 50%+ of adjusted net income through dividends (2.81% yield) and buybacks ($1.5B authorized) [1]. AI-driven route optimization and automated sorting investments drive operating leverage as volumes scale. At $24.55, the China ADR discount presents a compelling entry for investors willing to accept the structural risks.</w:t>
      </w:r>
    </w:p>
    <w:p>
      <w:pPr>
        <w:spacing w:after="120"/>
      </w:pPr>
      <w:r>
        <w:rPr>
          <w:rFonts w:ascii="Calibri" w:hAnsi="Calibri"/>
          <w:b w:val="0"/>
          <w:color w:val="3A4A28"/>
          <w:sz w:val="20"/>
        </w:rPr>
        <w:t>The bear case centers on China macro and structural risks inherent to all Chinese ADRs. The VIE structure creates existential investment risk, potential U.S. delisting concerns persist, and geopolitical tensions suppress valuation multiples irrespective of operational performance [1]. Competitive pressure from SF Express, Cainiao (Alibaba logistics), JD Logistics, YTO, and STO creates pricing risk that could compress the 17.88% profit margin as competitors invest in network capacity and technology. E-commerce growth in China is decelerating from pandemic-era highs, and consumer spending headwinds could reduce parcel volume growth below guidance. Gross profit decreased 10.5% in 2025 even as revenue grew 10.9%, signaling margin pressure from rising costs [1]. The Inspire Insight score of 0 (no data) and Inspiration score of 3 reflect limited transparency into corporate purpose and governance beyond financial metrics — typical for Chinese ADRs but a concern for values-based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revenue growth acceleration to 22% YoY ($1.93B) with 13.2% parcel volume growth suggests 2026 could significantly exceed the 10.9% growth achieved in 2025 [1]</w:t>
      </w:r>
    </w:p>
    <w:p>
      <w:pPr>
        <w:spacing w:before="40" w:after="40"/>
        <w:ind w:left="283"/>
      </w:pPr>
      <w:r>
        <w:rPr>
          <w:rFonts w:ascii="Calibri" w:hAnsi="Calibri"/>
          <w:b/>
          <w:color w:val="4A6B25"/>
          <w:sz w:val="20"/>
        </w:rPr>
        <w:t xml:space="preserve">2. </w:t>
      </w:r>
      <w:r>
        <w:rPr>
          <w:rFonts w:ascii="Calibri" w:hAnsi="Calibri"/>
          <w:b w:val="0"/>
          <w:color w:val="3A4A28"/>
          <w:sz w:val="20"/>
        </w:rPr>
        <w:t>Enhanced shareholder return program targeting 50%+ of adjusted net income through dividends and buybacks, with $1.5B authorization through March 2028, supporting share price at current discount [1]</w:t>
      </w:r>
    </w:p>
    <w:p>
      <w:pPr>
        <w:spacing w:before="40" w:after="40"/>
        <w:ind w:left="283"/>
      </w:pPr>
      <w:r>
        <w:rPr>
          <w:rFonts w:ascii="Calibri" w:hAnsi="Calibri"/>
          <w:b/>
          <w:color w:val="4A6B25"/>
          <w:sz w:val="20"/>
        </w:rPr>
        <w:t xml:space="preserve">3. </w:t>
      </w:r>
      <w:r>
        <w:rPr>
          <w:rFonts w:ascii="Calibri" w:hAnsi="Calibri"/>
          <w:b w:val="0"/>
          <w:color w:val="3A4A28"/>
          <w:sz w:val="20"/>
        </w:rPr>
        <w:t>AI and automation investments driving operating leverage — automated sorting, route optimization, and autonomous delivery pilots improving unit economics as parcel volumes scale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ADR structural risk — VIE corporate structure, potential U.S. delisting regulatory actions, and U.S.-China geopolitical tensions suppress valuation and create existential investment risk [1]</w:t>
      </w:r>
    </w:p>
    <w:p>
      <w:pPr>
        <w:spacing w:before="40" w:after="40"/>
        <w:ind w:left="283"/>
      </w:pPr>
      <w:r>
        <w:rPr>
          <w:rFonts w:ascii="Calibri" w:hAnsi="Calibri"/>
          <w:b/>
          <w:color w:val="4A6B25"/>
          <w:sz w:val="20"/>
        </w:rPr>
        <w:t xml:space="preserve">2. </w:t>
      </w:r>
      <w:r>
        <w:rPr>
          <w:rFonts w:ascii="Calibri" w:hAnsi="Calibri"/>
          <w:b w:val="0"/>
          <w:color w:val="3A4A28"/>
          <w:sz w:val="20"/>
        </w:rPr>
        <w:t>Gross profit margin compression — gross profit declined 10.5% in 2025 even as revenue grew 10.9%, signaling rising operating costs that could accelerate with competitive pricing pressure from SF Express and Cainiao [1]</w:t>
      </w:r>
    </w:p>
    <w:p>
      <w:pPr>
        <w:spacing w:before="40" w:after="40"/>
        <w:ind w:left="283"/>
      </w:pPr>
      <w:r>
        <w:rPr>
          <w:rFonts w:ascii="Calibri" w:hAnsi="Calibri"/>
          <w:b/>
          <w:color w:val="4A6B25"/>
          <w:sz w:val="20"/>
        </w:rPr>
        <w:t xml:space="preserve">3. </w:t>
      </w:r>
      <w:r>
        <w:rPr>
          <w:rFonts w:ascii="Calibri" w:hAnsi="Calibri"/>
          <w:b w:val="0"/>
          <w:color w:val="3A4A28"/>
          <w:sz w:val="20"/>
        </w:rPr>
        <w:t>E-commerce growth deceleration in China — slowing consumer spending and macro headwinds could reduce parcel volume growth below the 10-13% FY2026 guidance, undermining the growth narrative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ZTO's core business is physical parcel delivery — moving 38.52 billion packages annually from warehouse to doorstep through sorting hubs, delivery vehicles, and last-mile partners — which AI structurally cannot replace [1]. The logistics network requires physical-world infrastructure immune to AI displacement. However, AI optimization of routes, sorting, and demand forecasting enables competitors to close the efficiency gap, potentially eroding ZTO's cost advantage over time. The larger risk is e-commerce platform shifts (Pinduoduo, TikTok Shop, Cainiao) that could redirect parcel flows independent of AI [1]. AI Opportunity (1/1): ZTO actively deploys AI in route optimization, automated sorting centers, parcel identification vision systems, and demand forecasting, generating measurable efficiency gains; autonomous delivery vehicle pilots in Tier-1 cities represent emerging AI-driven capability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ZTO Express Q4 and Full Year 2025 Earnings Release and Q1 2026 Results — 38.52B parcels in 2025, $7.0B revenue (+10.9%), Q1 2026 $1.93B (+22%), FY2026 guidance 10-13% volume growth, $1.5B buyback program</w:t>
      </w:r>
    </w:p>
    <w:p>
      <w:pPr>
        <w:spacing w:before="20" w:after="20"/>
        <w:ind w:left="170"/>
      </w:pPr>
      <w:r>
        <w:rPr>
          <w:rFonts w:ascii="Calibri" w:hAnsi="Calibri"/>
          <w:b/>
          <w:color w:val="4A6B25"/>
          <w:sz w:val="15"/>
        </w:rPr>
        <w:t xml:space="preserve">2. </w:t>
      </w:r>
      <w:r>
        <w:rPr>
          <w:rFonts w:ascii="Calibri" w:hAnsi="Calibri"/>
          <w:b w:val="0"/>
          <w:color w:val="3A4A28"/>
          <w:sz w:val="17"/>
        </w:rPr>
        <w:t>ZTO Express Corporate Communications — CEO Lai Meisong leadership profile, AI and automation investments, autonomous delivery pilots, ZTO University,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ZTO Express 2024 ESG Report and Board ESG Committee — green logistics, sustainability initiatives, governance framework</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