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ACAD</w:t>
      </w:r>
      <w:r>
        <w:rPr>
          <w:rFonts w:ascii="Calibri" w:hAnsi="Calibri"/>
          <w:b/>
          <w:color w:val="1A2010"/>
          <w:sz w:val="40"/>
        </w:rPr>
        <w:t xml:space="preserve">  ACADIA Pharmaceuticals Inc.</w:t>
      </w:r>
    </w:p>
    <w:p>
      <w:pPr>
        <w:spacing w:after="120"/>
      </w:pPr>
      <w:r>
        <w:rPr>
          <w:rFonts w:ascii="Calibri" w:hAnsi="Calibri"/>
          <w:b/>
          <w:color w:val="6E8450"/>
          <w:sz w:val="18"/>
        </w:rPr>
        <w:t>GROWTH SLEEVE · 2026-07-25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ACADIA Pharmaceuticals is a biopharmaceutical company focused on developing and commercializing medicines for neurological and rare diseases. Its two commercial products are NUPLAZID (pimavanserin) for Parkinson's disease psychosis and DAYBUE (trofinetide) for Rett syndrome. Pipeline includes remlifanserin for Alzheimer's disease psychosis (Phase 2 readout expected late 2026) and ACP-211 for major depressive disorder.</w:t>
      </w:r>
    </w:p>
    <w:p>
      <w:r>
        <w:rPr>
          <w:rFonts w:ascii="Calibri" w:hAnsi="Calibri"/>
          <w:b/>
          <w:color w:val="6E8450"/>
          <w:sz w:val="18"/>
        </w:rPr>
        <w:t>796 Employees · https://www.acadia.com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grew 9.7% YoY to $268M, with DAYBUE posting 20% growth to $101.2M and NUPLAZID stable at $166.9M [1]. TTM revenue reached $1.10B, extending the $1B milestone crossed in FY2025. However, earnings collapsed — Q1 2026 net income was only $3.64M ($0.02 EPS vs $0.05 expected), signaling a profitability inflection as R&amp;D investment ramps [1]. AI Deployment (1/2): New Chief Innovation and Data Officer Scott Sentz is deploying AI-powered commercial analytics for physician targeting, clinical command centers for real-time trial monitoring, and AI-enabled medical writing for regulatory document development — meaningful deployment beyond exploration but without quantified financial impact [2]. Market Share (2/2): NUPLAZID remains the only FDA-approved treatment for Parkinson's disease psychosis and DAYBUE the only approved Rett syndrome treatment, providing monopoly positions in both indications [1][6]. Pipeline (1/2): Remlifanserin Phase 2 readout expected late 2026 for Alzheimer's psychosis is the near-term catalyst, but the EU negative regulatory opinion on trofinetide represents a meaningful setback to the global expansion thesis [4]. R&amp;D Intensity (0/1): R&amp;D spending is at industry average for a mid-cap biotech with 796 employees; not above-average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ACADIA's purpose of 'Redefining What's Possible in NeuroPsych and NeuroRare' is clear and identifies the company's therapeutic focus and patient population, but remains a marketing tagline rather than a deeply distinctive purpose that shapes strategic decisions beyond the obvious for a specialty pharma company [2]. Community Impact (1/2): ACADIA supports patient access and caregiver communities for Parkinson's and Rett syndrome patients through advocacy programs and compassionate use, though specific dollar amounts for charitable giving are not prominently disclosed. Employee Retention (1/2): Glassdoor rating of 4.1/5 with mixed reviews — some cite 'amazing culture' under CEO Catherine Owen Adams while others describe 'toxic culture' and lack of strategic direction from prior leadership era [3]. R&amp;D Head Elizabeth Thompson's retirement (with consultant retention through 2026) adds transition uncertainty [4]. Insider Buying (1/2): Prior screen identified net insider buying of 20,530 shares across 10 purchase transactions; no evidence of a shift to net selling, maintaining a modestly positive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trailing financial profile remains exceptionally strong, masking a significant forward profitability deterioration. D/E of 4% represents a near-debt-free balance sheet with $851M cash against only $50.8M debt — net cash of $801M provides a substantial war chest [5]. Trailing ROE of 37.3% and profit margin of 34.3% reflect the high-margin pharmaceutical model on NUPLAZID and DAYBUE [5]. However, forward P/E has exploded to 62.1x (from 24.1x last screen), reflecting analyst expectations of dramatic earnings compression as R&amp;D spending ramps for late-stage pipeline programs — Q1 2026 showed only $3.64M net income on $268M revenue (1.4% margin) versus the trailing 34.3% [1][5]. Revenue growth remains healthy at 9.9% TTM with 5yr CAGR of ~19%. Forward PEG of ~2.3 reflects the tension between revenue growth and profitability decline. Liquidity floor cleared at $43.9M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ACADIA shows genuine purpose in addressing underserved neurological conditions with monopoly-position treatments, but the EU trofinetide rejection, Q1 2026 earnings miss, and R&amp;D leadership transition test the company's institutional resilience at a critical juncture. CEO Owen Adams' five-year roadmap provides strategic direction, but the company has not yet been tested through multiple market cycles as an independent commercially relevant 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focus on neuropsychiatric and rare diseases — conditions often neglected by larger pharma — represents a genuine Just Cause that connects commercial activity to patient impact [2]. NUPLAZID was the first approved treatment for Parkinson's disease psychosis, and DAYBUE the first for Rett syndrome, demonstrating willingness to pursue underserved populations where the Just Cause is validated by action. However, this cause hasn't been tested through multi-decade consistency as the company has only been commercially relevant since 2016, and the EU trofinetide rejection tests whether the global patient access mission can withstand regulatory setbacks [4].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 with mixed reviews — recent positive reviews praise CEO Owen Adams for transparency and clear goals, while older reviews cite 'toxic culture' under prior leadership [3]. The R&amp;D head Elizabeth Thompson's retirement with a consultant retention arrangement through 2026 shows thoughtful transition management, but adds organizational uncertainty during critical Phase 2 readouts. The lean 796-person organization allows for closer team dynamics but limits depth.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 frames its strategy around improving patient outcomes in underserved neurological conditions rather than destroying competitors. The partnership model — licensing trofinetide from Neuren Pharmaceuticals, collaboration with Stoke Therapeutics for RNA-based medicines — demonstrates willingness to learn from and work with external expertise rather than competing on every front [2].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 has incrementally expanded from a single-product company (NUPLAZID, 2016) to a two-product rare disease platform with DAYBUE (2023), but this represents adjacency expansion within neuroscience rather than transformative reinvention. The company remains narrowly focused on neuropsychiatric and neurorare conditions. Too young and small to have faced a true existential pivot test — the EU trofinetide rejection may eventually force strategic adaptation, but no transformative response has been required yet.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brought in Catherine Owen Adams as CEO with deep BMS/J&amp;J commercial experience (9 new product launches) to professionalize operations and set a five-year growth roadmap [3]. ACADIA's pursuit of Rett syndrome (ultra-rare, ~15,000 US patients) when it could have focused solely on larger Parkinson's markets demonstrates willingness to invest in underserved populations. However, the EU trofinetide failure tests whether leadership will double down or retreat.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ACADIA's two monopoly-position franchises — NUPLAZID (only approved Parkinson's psychosis treatment) and DAYBUE (only approved Rett syndrome treatment) — generated TTM revenue of $1.10B with 9.9% growth, and management reaffirmed 2026 guidance of $1.22-$1.28B [1][6]. The balance sheet is a fortress: $851M cash, only $50.8M debt, and trailing ROE of 37.3% [5]. At $24.84, the stock trades at 11.3x trailing earnings and offers 41% upside according to Simply Wall St fair value analysis [4]. DAYBUE's 20% Q1 2026 growth and the late-2026 remlifanserin Phase 2 readout for Alzheimer's psychosis represent meaningful catalysts. CEO Owen Adams brings 9 new product launches from BMS to guide commercial execution, and the new CIDO Scott Sentz is deploying AI across commercial analytics and R&amp;D operations [2][3].</w:t>
      </w:r>
    </w:p>
    <w:p>
      <w:pPr>
        <w:spacing w:after="120"/>
      </w:pPr>
      <w:r>
        <w:rPr>
          <w:rFonts w:ascii="Calibri" w:hAnsi="Calibri"/>
          <w:b w:val="0"/>
          <w:color w:val="3A4A28"/>
          <w:sz w:val="20"/>
        </w:rPr>
        <w:t>The bear case has intensified since the last screen. Q1 2026 EPS of $0.02 missed the $0.05 consensus by 58%, and revenue of $268M missed the $280.9M forecast, driving a forward PE explosion from 24x to 62x as analysts project dramatic profitability compression from rising R&amp;D and SGA spending [1][5]. The EU negative regulatory opinion on trofinetide (DAYBUE) blocks a major international expansion avenue and narrows the growth runway [4]. R&amp;D Head Elizabeth Thompson is retiring during a critical period with the remlifanserin Phase 2 readout approaching late 2026 — pipeline binary risk is concentrated in a single readout event. Revenue remains heavily concentrated in two products: NUPLAZID patent cliffs could invite generic competition, and DAYBUE depends on a licensed molecule from Neuren. The $4.25B market cap provides limited margin of safety if growth disappoints. At 62x forward earnings, investors are paying an aggressive multiple for a company whose near-term profitability is deteriorating rapidly — Q1 2026 net income of $3.64M represents a 1.4% margin versus 34.3% trailing, a red flag for earnings quality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Remlifanserin Phase 2 readout for Alzheimer's disease psychosis expected late 2026 could significantly expand ACADIA's addressable market beyond the current two-product franchise [4]</w:t>
      </w:r>
    </w:p>
    <w:p>
      <w:pPr>
        <w:spacing w:before="40" w:after="40"/>
        <w:ind w:left="283"/>
      </w:pPr>
      <w:r>
        <w:rPr>
          <w:rFonts w:ascii="Calibri" w:hAnsi="Calibri"/>
          <w:b/>
          <w:color w:val="4A6B25"/>
          <w:sz w:val="20"/>
        </w:rPr>
        <w:t xml:space="preserve">2. </w:t>
      </w:r>
      <w:r>
        <w:rPr>
          <w:rFonts w:ascii="Calibri" w:hAnsi="Calibri"/>
          <w:b w:val="0"/>
          <w:color w:val="3A4A28"/>
          <w:sz w:val="20"/>
        </w:rPr>
        <w:t>DAYBUE growth acceleration at +20% in Q1 2026 ($101.2M) with full-year guidance of $460-$490M, as physician awareness of the only approved Rett syndrome treatment deepens [1][6]</w:t>
      </w:r>
    </w:p>
    <w:p>
      <w:pPr>
        <w:spacing w:before="40" w:after="40"/>
        <w:ind w:left="283"/>
      </w:pPr>
      <w:r>
        <w:rPr>
          <w:rFonts w:ascii="Calibri" w:hAnsi="Calibri"/>
          <w:b/>
          <w:color w:val="4A6B25"/>
          <w:sz w:val="20"/>
        </w:rPr>
        <w:t xml:space="preserve">3. </w:t>
      </w:r>
      <w:r>
        <w:rPr>
          <w:rFonts w:ascii="Calibri" w:hAnsi="Calibri"/>
          <w:b w:val="0"/>
          <w:color w:val="3A4A28"/>
          <w:sz w:val="20"/>
        </w:rPr>
        <w:t>New CIDO Scott Sentz deploying AI across commercial analytics, clinical trial monitoring, and regulatory functions to improve operational efficiency for the lean 796-person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explosion to 62x signals analyst expectations of dramatic profitability collapse — Q1 2026 net income of $3.64M (1.4% margin) vs trailing 34.3% margin indicates a structural shift in the cost profile as R&amp;D investment ramps [1][5]</w:t>
      </w:r>
    </w:p>
    <w:p>
      <w:pPr>
        <w:spacing w:before="40" w:after="40"/>
        <w:ind w:left="283"/>
      </w:pPr>
      <w:r>
        <w:rPr>
          <w:rFonts w:ascii="Calibri" w:hAnsi="Calibri"/>
          <w:b/>
          <w:color w:val="4A6B25"/>
          <w:sz w:val="20"/>
        </w:rPr>
        <w:t xml:space="preserve">2. </w:t>
      </w:r>
      <w:r>
        <w:rPr>
          <w:rFonts w:ascii="Calibri" w:hAnsi="Calibri"/>
          <w:b w:val="0"/>
          <w:color w:val="3A4A28"/>
          <w:sz w:val="20"/>
        </w:rPr>
        <w:t>EU negative regulatory opinion on trofinetide blocks international DAYBUE expansion and narrows the growth runway for a company with concentrated two-product revenue dependence [4]</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concentrated in the late-2026 remlifanserin Phase 2 readout, with R&amp;D leadership in transition as Head Elizabeth Thompson retires during critical development milestones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ACADIA's core business — commercializing FDA-approved neuropsychiatric drugs — is protected by formidable regulatory moats: FDA approval processes, patent exclusivity, and multi-year clinical trial requirements that AI cannot bypass [2]. Drug manufacturing and the physician-patient prescribing relationship for psychosis and rare disease medications involve physical and regulatory processes that are structurally AI-resistant. However, AI-driven drug discovery platforms from larger competitors (Recursion, Insilico, big pharma AI labs) could accelerate development of competing molecules in ACADIA's therapeutic areas, creating moderate long-term substitution risk for pipeline competitiveness. The EU trofinetide rejection underscores the fragility of a small pipeline against well-resourced AI-enabled competitors [4]. AI Opportunity (1/1): ACADIA is deploying AI through its new CIDO Scott Sentz across commercial analytics (physician targeting), R&amp;D (clinical command centers with real-time trial monitoring), and regulatory functions (AI-enabled medical writing), generating operational efficiency that supports the lean 796-person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Pharmaceuticals Q1 2026 Earnings — $268M revenue, +9.7% YoY, $0.02 EPS (missed $0.05), DAYBUE +20% to $101.2M, May 2026</w:t>
      </w:r>
    </w:p>
    <w:p>
      <w:pPr>
        <w:spacing w:before="20" w:after="20"/>
        <w:ind w:left="170"/>
      </w:pPr>
      <w:r>
        <w:rPr>
          <w:rFonts w:ascii="Calibri" w:hAnsi="Calibri"/>
          <w:b/>
          <w:color w:val="4A6B25"/>
          <w:sz w:val="15"/>
        </w:rPr>
        <w:t xml:space="preserve">2. </w:t>
      </w:r>
      <w:r>
        <w:rPr>
          <w:rFonts w:ascii="Calibri" w:hAnsi="Calibri"/>
          <w:b w:val="0"/>
          <w:color w:val="3A4A28"/>
          <w:sz w:val="17"/>
        </w:rPr>
        <w:t>ACADIA Pharmaceuticals corporate perspectives — AI in pharma strategy, CIDO Scott Sentz, commercial analytics, clinical command centers, medical writing AI</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ACAD 4.1/5 rating, CEO Owen Adams leadership, mixed sentiment, 62 reviews</w:t>
      </w:r>
    </w:p>
    <w:p>
      <w:pPr>
        <w:spacing w:before="20" w:after="20"/>
        <w:ind w:left="170"/>
      </w:pPr>
      <w:r>
        <w:rPr>
          <w:rFonts w:ascii="Calibri" w:hAnsi="Calibri"/>
          <w:b/>
          <w:color w:val="4A6B25"/>
          <w:sz w:val="15"/>
        </w:rPr>
        <w:t xml:space="preserve">4. </w:t>
      </w:r>
      <w:r>
        <w:rPr>
          <w:rFonts w:ascii="Calibri" w:hAnsi="Calibri"/>
          <w:b w:val="0"/>
          <w:color w:val="3A4A28"/>
          <w:sz w:val="17"/>
        </w:rPr>
        <w:t>EU trofinetide negative regulatory opinion, R&amp;D Head Elizabeth Thompson retirement, analyst coverage and Simply Wall St valuation</w:t>
      </w:r>
    </w:p>
    <w:p>
      <w:pPr>
        <w:spacing w:before="20" w:after="20"/>
        <w:ind w:left="170"/>
      </w:pPr>
      <w:r>
        <w:rPr>
          <w:rFonts w:ascii="Calibri" w:hAnsi="Calibri"/>
          <w:b/>
          <w:color w:val="4A6B25"/>
          <w:sz w:val="15"/>
        </w:rPr>
        <w:t xml:space="preserve">5. </w:t>
      </w:r>
      <w:r>
        <w:rPr>
          <w:rFonts w:ascii="Calibri" w:hAnsi="Calibri"/>
          <w:b w:val="0"/>
          <w:color w:val="3A4A28"/>
          <w:sz w:val="17"/>
        </w:rPr>
        <w:t>StockAnalysis — ACAD $24.84, PE 11.31, forward PE 62.10, 37.32% ROE, 34.30% margin, $851M cash, retrieved July 2026</w:t>
      </w:r>
    </w:p>
    <w:p>
      <w:pPr>
        <w:spacing w:before="20" w:after="20"/>
        <w:ind w:left="170"/>
      </w:pPr>
      <w:r>
        <w:rPr>
          <w:rFonts w:ascii="Calibri" w:hAnsi="Calibri"/>
          <w:b/>
          <w:color w:val="4A6B25"/>
          <w:sz w:val="15"/>
        </w:rPr>
        <w:t xml:space="preserve">6. </w:t>
      </w:r>
      <w:r>
        <w:rPr>
          <w:rFonts w:ascii="Calibri" w:hAnsi="Calibri"/>
          <w:b w:val="0"/>
          <w:color w:val="3A4A28"/>
          <w:sz w:val="17"/>
        </w:rPr>
        <w:t>ACADIA 2026 guidance reaffirmed — $1.22-$1.28B total revenue, NUPLAZID $760-$790M, DAYBUE $460-$490M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