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ACMR</w:t>
      </w:r>
      <w:r>
        <w:rPr>
          <w:rFonts w:ascii="Calibri" w:hAnsi="Calibri"/>
          <w:b/>
          <w:color w:val="1A2010"/>
          <w:sz w:val="40"/>
        </w:rPr>
        <w:t xml:space="preserve">  ACM Research, Inc.</w:t>
      </w:r>
    </w:p>
    <w:p>
      <w:pPr>
        <w:spacing w:after="120"/>
      </w:pPr>
      <w:r>
        <w:rPr>
          <w:rFonts w:ascii="Calibri" w:hAnsi="Calibri"/>
          <w:b/>
          <w:color w:val="6E8450"/>
          <w:sz w:val="18"/>
        </w:rPr>
        <w:t>GROWTH SLEEVE · 2026-07-28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 Equipment &amp; Materials · NASDAQ · United States</w:t>
      </w:r>
    </w:p>
    <w:p>
      <w:pPr>
        <w:spacing w:after="80"/>
      </w:pPr>
      <w:r>
        <w:rPr>
          <w:rFonts w:ascii="Calibri" w:hAnsi="Calibri"/>
          <w:b w:val="0"/>
          <w:color w:val="3A4A28"/>
          <w:sz w:val="20"/>
        </w:rPr>
        <w:t>ACM Research develops, manufactures, and sells single-wafer wet cleaning equipment and other semiconductor process tools. Products include SAPS, TEBO, and Ultra C cleaning tools, electrochemical plating (ECP) systems, ACM Planetary furnace family, and advanced packaging equipment. Founded by Dr. David Wang in 1998, headquartered in Fremont, California with principal operations through subsidiary ACM Research (Shanghai). Named 2025 Innovator of the Year by Portland Business Journal.</w:t>
      </w:r>
    </w:p>
    <w:p>
      <w:r>
        <w:rPr>
          <w:rFonts w:ascii="Calibri" w:hAnsi="Calibri"/>
          <w:b/>
          <w:color w:val="6E8450"/>
          <w:sz w:val="18"/>
        </w:rPr>
        <w:t>2,600 Employees · https://www.acmr.com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ACM Research has grown revenue from ~$133M in 2020 to $901M in 2025 (46.6% 5yr CAGR), successfully expanding from single-wafer cleaning into electrochemical plating, the ACM Planetary furnace family, and advanced packaging, while also diversifying geographically to serve Samsung, SK Hynix, and European customers [1][2]. Named 2025 Innovator of the Year by Portland Business Journal. AI Deployment (1/2): ACM's Ultra ECP ap-p tool supports advanced fan-out panel-level packaging (FOPLP) with submicron features for AI chip applications, and the company's cleaning equipment enables AI accelerator manufacturing at advanced nodes requiring tighter contamination control [3]. Market Share (2/2): ACM Research is the leading single-wafer wet cleaning equipment provider in China with significant market share gains from incumbents Tokyo Electron and SCREEN, directly benefiting from China's domestic semiconductor equipment localization push accelerated by U.S. export controls [4]. Product Pipeline (2/2): Q1 2026 revenue of $231.3M (up 34.2% YoY) with shipments of $241M (up 54%) validated the product pipeline, and FY2026 guidance of $1.08-$1.175B (25% growth at midpoint) is driven by specific new products including ACM Planetary furnace, Ultra C Tahoe (75% chemical reduction), and Frame Wafer (~100% solvent recovery) [1]. R&amp;D Intensity (1/1): R&amp;D guidance of 16-18% of sales for FY2026 exceeds semiconductor equipment industry average (~13-15% for Applied Materials, Lam Research, Tokyo Electron), and founder Dr. Wang holds 100+ patents [1][3].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ACM Research's purpose — enabling advanced semiconductor manufacturing through innovative and cost-effective equipment and process solutions — is clear and identifies both the 'what' and 'for whom,' but is operationally focused and interchangeable with most semiconductor equipment peers. It does not articulate a deeper purpose or vision of a future state beyond the industry [3]. Community Impact (1/2): ACM's Ultra C Tahoe cleaning tool achieves 75% reduction in chemical consumption and the Frame Wafer tool enables ~100% solvent recovery, demonstrating meaningful environmental innovation in product design [3]. ACM Shanghai achieved a reported 30% reduction in energy consumption and launched an equipment recycling program recovering 1,000+ tons of materials. Employee Retention (0/2): Limited public data available for ACM Research's ~2,600 employees. Insufficient Glassdoor reviews or retention metrics to score. Rapid scaling from $133M to $901M revenue in five years likely creates organizational growing pains. Insider Buying (0/2): Net insider selling is significant — CEO David Wang executed 9 sales totaling $9.5M over the last 6 months with zero purchases, all under a pre-arranged 10b5-1 plan adopted November 2024 [5]. March 2026 transactions included exercising options at $1.00 and selling at $44-$48 per share.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formula. ACM Research's balance sheet is pristine with D/E of just 20.7%, reflecting minimal leverage and conservative financial management [6]. Q1 2026 delivered $231.3M revenue (up 34.2% YoY), beating estimates by 6.2%, with shipments of $241M (up 54%) and gross margin of 46.5% within the 42-48% target range [1]. The 5yr revenue CAGR of 46.6% is exceptional, and FY2026 guidance of $1.08-$1.175B represents 25% growth at midpoint. Forward P/E of 20.6 and estimated PEG of ~0.82 are attractive for a company guiding 25%+ revenue growth with expanding margins. ROE of ~10% is below the 15% target but acceptable for a high-growth equipment company reinvesting heavily — R&amp;D at 16-18% of sales, sales and marketing at 8-9%, G&amp;A at 5-6% [1]. Profit margin of 9.5% is below the 20% target but improving as scale benefits and operating leverage accrue. Liquidity easily cleared at ~$53M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ACM Research under founder-CEO Dr. David Wang shows strong founder-driven long-term orientation with a 28-year track record of building the company from a small cleaning equipment startup to a $900M+ revenue global semiconductor equipment provider. The consistent investment in new product development and geographic expansion reflects infinite game thinking. However, heavy insider selling ($9.5M by the CEO in 6 months) and a competitive strategy primarily framed around displacing incumbents introduce finite-game concerns.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ACM Research's purpose — enabling advanced semiconductor manufacturing through innovative process solutions — is functional and industry-appropriate but lacks a vision of a better future beyond operational excellence in wafer cleaning [3]. Founder Dr. Wang's 100+ patents and 28-year commitment demonstrate genuine passion for the technology, but the company's articulated mission doesn't inspire beyond the immediate industry context. The cause exists but reads more as a business description than a rallying cry.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company maintains a stable leadership team with founder Wang providing continuity since 1998 and key executives serving multi-year tenures. At ~2,600 employees, the company is small enough for relatively direct leadership engagement. However, insufficient public data on employee satisfaction, Glassdoor reviews, or retention metrics prevents a higher score. Rapid headcount growth required to support the revenue ramp from $133M to $900M+ in five years likely creates organizational growing pains and cultural challenges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ACM Research's competitive positioning is primarily framed around displacing incumbent Western competitors — Tokyo Electron, SCREEN, Lam Research, and Applied Materials — rather than learning from their strengths [4]. The company benefits from the geopolitical dynamic that forces Chinese fabs to choose domestic suppliers, which is a market access advantage rather than a competitive improvement mindset. Management commentary focuses on market share gains from rivals rather than acknowledging competitors'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ACM Research has expanded from a single-product cleaning equipment company into a multi-product platform spanning wet cleaning, electrochemical plating, furnace, and advanced packaging equipment [1]. The geographic expansion from China-only to global customers (Samsung, SK Hynix, European fabs) represents meaningful strategic evolution, and entering the furnace equipment category in 2025-2026 opens an entirely new addressable market. These moves show consistent adaptation but are incremental extensions of semiconductor equipment expertise rather than transformative pivots.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Founder Dr. David Wang has demonstrated remarkable long-term commitment — building ACM Research over 28 years from founding in 1998 through periods when the company had minimal revenue, investing in proprietary SAPS and TEBO cleaning technologies years before the market validated them [2]. The decision to maintain and grow the Shanghai subsidiary despite ACM Shanghai being added to the BIS Entity List in December 2024 shows willingness to stay the course when the easier path would be to retreat [4]. Expanding into entirely new product categories (furnace, ECP, advanced packaging) while still scaling the core cleaning business demonstrates investing in future capability at the expense of near-term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ACM Research is a high-growth semiconductor equipment company riding the dual tailwinds of China's domestic chip localization push and global AI-driven capacity expansion. Q1 2026 delivered $231.3M revenue (up 34.2% YoY, beating estimates by 6.2%) with shipments of $241M (up 54%), and management confirmed FY2026 guidance of $1.08-$1.175B (25% growth at midpoint) [1]. The 5yr revenue CAGR of 46.6% is exceptional, and the balance sheet is pristine with D/E of just 20.7% and ample liquidity. At ~20.6x forward P/E and PEG of ~0.82, the stock is attractively valued for 25%+ revenue growth with expanding margins. Gross margin of 46.5% exceeded the midpoint of the 42-48% target range, and the product portfolio is broadening into higher-margin categories — furnace, ECP, and advanced packaging [1][3]. R&amp;D intensity of 16-18% of sales and Dr. Wang's 100+ patents provide a deep innovation moat.</w:t>
      </w:r>
    </w:p>
    <w:p>
      <w:pPr>
        <w:spacing w:after="120"/>
      </w:pPr>
      <w:r>
        <w:rPr>
          <w:rFonts w:ascii="Calibri" w:hAnsi="Calibri"/>
          <w:b w:val="0"/>
          <w:color w:val="3A4A28"/>
          <w:sz w:val="20"/>
        </w:rPr>
        <w:t>The bear case centers on existential geopolitical risk. ACM Research generates the majority of its revenue through its Shanghai subsidiary serving Chinese semiconductor fabs, and ACM Shanghai and ACM Korea were added to the BIS Entity List in December 2024, restricting access to items subject to U.S. export controls [4]. Escalating U.S.-China restrictions could limit the company's ability to serve advanced-node customers in China or restrict component sourcing from Western suppliers, threatening the core growth thesis. Insider selling is a material red flag — CEO Wang sold $9.5M in shares over the last 6 months with zero purchases, despite publicly guiding 25%+ growth [5]. Profit margin of 9.5% and ROE of ~10% remain below target thresholds, reflecting heavy reinvestment and margin pressure from product mix shifts — Q1 2026 gross margin of 46.5% was down from 47.9% prior year as cleaning revenue fell 5.5% while lower-margin ECP and furnace grew [1]. Competition from established Western incumbents and emerging Chinese competitors could pressure market share gains as the geopolitical environment evolves.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revenue guidance of $1.08-$1.175B (25% growth at midpoint) driven by ACM Planetary furnace ramp, Ultra C Tahoe, and continued single-wafer cleaning market share gains in China and expanding international markets [1]</w:t>
      </w:r>
    </w:p>
    <w:p>
      <w:pPr>
        <w:spacing w:before="40" w:after="40"/>
        <w:ind w:left="283"/>
      </w:pPr>
      <w:r>
        <w:rPr>
          <w:rFonts w:ascii="Calibri" w:hAnsi="Calibri"/>
          <w:b/>
          <w:color w:val="4A6B25"/>
          <w:sz w:val="20"/>
        </w:rPr>
        <w:t xml:space="preserve">2. </w:t>
      </w:r>
      <w:r>
        <w:rPr>
          <w:rFonts w:ascii="Calibri" w:hAnsi="Calibri"/>
          <w:b w:val="0"/>
          <w:color w:val="3A4A28"/>
          <w:sz w:val="20"/>
        </w:rPr>
        <w:t>China semiconductor localization acceleration — domestic fabs expanding capacity under government support create captive demand for ACM's equipment as Western alternatives face export restrictions, with single-wafer SPM shipments expected to ramp sharply through 2026 [1][4]</w:t>
      </w:r>
    </w:p>
    <w:p>
      <w:pPr>
        <w:spacing w:before="40" w:after="40"/>
        <w:ind w:left="283"/>
      </w:pPr>
      <w:r>
        <w:rPr>
          <w:rFonts w:ascii="Calibri" w:hAnsi="Calibri"/>
          <w:b/>
          <w:color w:val="4A6B25"/>
          <w:sz w:val="20"/>
        </w:rPr>
        <w:t xml:space="preserve">3. </w:t>
      </w:r>
      <w:r>
        <w:rPr>
          <w:rFonts w:ascii="Calibri" w:hAnsi="Calibri"/>
          <w:b w:val="0"/>
          <w:color w:val="3A4A28"/>
          <w:sz w:val="20"/>
        </w:rPr>
        <w:t>Advanced packaging and AI-driven demand — Ultra ECP ap-p tool supports FOPLP with submicron features for AI applications, positioning ACM to capture growing AI chip packaging spend as chiplet architectures proliferate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Geopolitical risk — BIS Entity List addition of ACM Shanghai and ACM Korea in December 2024 restricts access to U.S. export-controlled items, and further escalation of U.S.-China tech restrictions could fundamentally threaten the company's core China revenue base [4]</w:t>
      </w:r>
    </w:p>
    <w:p>
      <w:pPr>
        <w:spacing w:before="40" w:after="40"/>
        <w:ind w:left="283"/>
      </w:pPr>
      <w:r>
        <w:rPr>
          <w:rFonts w:ascii="Calibri" w:hAnsi="Calibri"/>
          <w:b/>
          <w:color w:val="4A6B25"/>
          <w:sz w:val="20"/>
        </w:rPr>
        <w:t xml:space="preserve">2. </w:t>
      </w:r>
      <w:r>
        <w:rPr>
          <w:rFonts w:ascii="Calibri" w:hAnsi="Calibri"/>
          <w:b w:val="0"/>
          <w:color w:val="3A4A28"/>
          <w:sz w:val="20"/>
        </w:rPr>
        <w:t>CEO David Wang sold $9.5M in shares over the last 6 months with zero purchases under a pre-arranged 10b5-1 plan, creating a material disconnect between public guidance of 25%+ growth and personal capital allocation decisions [5]</w:t>
      </w:r>
    </w:p>
    <w:p>
      <w:pPr>
        <w:spacing w:before="40" w:after="40"/>
        <w:ind w:left="283"/>
      </w:pPr>
      <w:r>
        <w:rPr>
          <w:rFonts w:ascii="Calibri" w:hAnsi="Calibri"/>
          <w:b/>
          <w:color w:val="4A6B25"/>
          <w:sz w:val="20"/>
        </w:rPr>
        <w:t xml:space="preserve">3. </w:t>
      </w:r>
      <w:r>
        <w:rPr>
          <w:rFonts w:ascii="Calibri" w:hAnsi="Calibri"/>
          <w:b w:val="0"/>
          <w:color w:val="3A4A28"/>
          <w:sz w:val="20"/>
        </w:rPr>
        <w:t>Customer concentration in Chinese semiconductor fabs creates geographic and political risk — any slowdown in China's semiconductor investment cycle, policy shifts, or increased competition from domestic Chinese equipment startups could materially impact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ACM Research manufactures the physical semiconductor equipment required to produce AI chips — wafer cleaning tools are essential in every advanced fabrication process, and AI accelerator manufacturing at advanced nodes requires more cleaning steps with tighter contamination control [1][3]. The company is structurally immune to AI disruption because AI increases demand for semiconductor manufacturing capacity, which directly increases demand for ACM's equipment. China's push for domestic AI chip capability under export restrictions from Western equipment suppliers (Applied Materials, Lam Research, Tokyo Electron) specifically benefits ACM as a domestically available alternative [4]. The primary risk is not AI displacement but geopolitical — the BIS Entity List addition of ACM Shanghai and ACM Korea in December 2024 could restrict component sourcing. AI Opportunity (1/1): ACM's products directly enable AI chip manufacturing through advanced packaging (FOPLP) and ultra-clean wafer processing, and the company's revenue growth is partly driven by expanding AI chip production capacity globally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ACM Research Q1 2026 Earnings Release — $231.3M revenue (up 34.2% YoY), $241M shipments (up 54%), 46.5% gross margin, FY2026 guidance of $1.08-$1.175B confirmed, May 2026</w:t>
      </w:r>
    </w:p>
    <w:p>
      <w:pPr>
        <w:spacing w:before="20" w:after="20"/>
        <w:ind w:left="170"/>
      </w:pPr>
      <w:r>
        <w:rPr>
          <w:rFonts w:ascii="Calibri" w:hAnsi="Calibri"/>
          <w:b/>
          <w:color w:val="4A6B25"/>
          <w:sz w:val="15"/>
        </w:rPr>
        <w:t xml:space="preserve">2. </w:t>
      </w:r>
      <w:r>
        <w:rPr>
          <w:rFonts w:ascii="Calibri" w:hAnsi="Calibri"/>
          <w:b w:val="0"/>
          <w:color w:val="3A4A28"/>
          <w:sz w:val="17"/>
        </w:rPr>
        <w:t>ACM Research Leadership — Founder-CEO Dr. David Wang (28-year tenure, 100+ patents), Named 2025 Innovator of the Year by Portland Business Journal,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ACM Research Product Innovation — Ultra ECP ap-p for AI FOPLP, Ultra C Tahoe 75% chemical reduction, Frame Wafer ~100% solvent recovery, ESG Report 2024,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ACM Research Geopolitical Risk — ACM Shanghai and ACM Korea added to BIS Entity List December 2024, China semiconductor localization dynamics, Insider Monkey / Trefis / Hazelnuts Research analysis,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David Wang Insider Transactions — 9 sales totaling $9.5M over last 6 months, zero purchases, 10b5-1 plan adopted November 2024, QuiverQuantitative / Investing.com,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 Yahoo Finance — ACMR Key Statistics (Forward P/E 20.59, D/E 20.7%, ROE ~10%),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