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ACM</w:t>
      </w:r>
      <w:r>
        <w:rPr>
          <w:rFonts w:ascii="Calibri" w:hAnsi="Calibri"/>
          <w:b/>
          <w:color w:val="1A2010"/>
          <w:sz w:val="40"/>
        </w:rPr>
        <w:t xml:space="preserve">  AECOM</w:t>
      </w:r>
    </w:p>
    <w:p>
      <w:pPr>
        <w:spacing w:after="120"/>
      </w:pPr>
      <w:r>
        <w:rPr>
          <w:rFonts w:ascii="Calibri" w:hAnsi="Calibri"/>
          <w:b/>
          <w:color w:val="6E8450"/>
          <w:sz w:val="18"/>
        </w:rPr>
        <w:t>GROWTH SLEEVE · 2026-07-28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AECOM is a global infrastructure consulting firm providing planning, consulting, architectural and engineering design, construction management, and program management services. Under CEO Troy Rudd's Think and Act Globally strategy, the company has refocused on higher-margin professional services and advisory, exiting construction management. Serves transportation, water, environment, energy, and facilities markets worldwide with a record $26.2B backlog.</w:t>
      </w:r>
    </w:p>
    <w:p>
      <w:r>
        <w:rPr>
          <w:rFonts w:ascii="Calibri" w:hAnsi="Calibri"/>
          <w:b/>
          <w:color w:val="6E8450"/>
          <w:sz w:val="18"/>
        </w:rPr>
        <w:t>52,000 Employees · https://www.aecom.com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Troy Rudd's transformation since 2020 from a construction-heavy conglomerate to a focused professional services firm represents a significant strategic pivot — divesting management services and self-perform construction to concentrate on higher-margin advisory and design [1][2]. The shift is validated by record 16.5% adjusted EBITDA margins in Q2 FY2026 and 14% guided earnings growth. AI Deployment (1/2): AECOM has developed proprietary 'AECOM AI' capabilities targeting 20%+ operating margins by end of FY2028, and is designing major AI infrastructure projects including the €1.9B Nostrum Evergreen data center campus in Europe [5]. No specific revenue or cost-savings figures from internal AI deployment were disclosed. Market Share (2/2): AECOM consistently ranks #1 on Engineering News-Record's Top 500 Design Firms list, with dominant positions in transportation, water, and environmental design, and record $26.2B backlog (up 8% YoY) with 1.5x book-to-burn ratio sustained for 21 consecutive quarters [1]. Product Pipeline (1/2): Record backlog with double-digit pipeline growth and guidance raise to 14% earnings growth at midpoint provides strong visibility, but specific next-gen service offerings are limited for a professional services firm [1]. R&amp;D Intensity (0/1): Professional services firms do not have traditional R&amp;D spending; innovation occurs through service delivery methodology.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AECOM's Sustainable Legacies strategy represents a specific and thoughtful articulation of purpose — using infrastructure expertise to create lasting positive environmental and social impact [4]. The commitment to net-zero targets approved by the Science Based Targets initiative (among the first globally) connects daily work to climate action and differentiates from most E&amp;C peers. Community Impact (1/2): The company's infrastructure work inherently creates community impact through transportation, water systems, and environmental remediation projects, and the Sustainable Legacies strategy includes community engagement programs, though quantified charitable giving figures are not prominently disclosed [4]. Employee Retention (1/2): Glassdoor rating of 3.6/5 across 11,192 reviews is average for a large engineering services firm, with professional development programs and the 'Leadership at All Levels' initiative cited as positives [6]. Reviews flag cultural integration challenges from AECOM's acquisition-driven growth history but no evidence of above-average voluntary turnover. Insider Buying (0/2): Net insider selling over the past 12 months — COO Lara Poloni executed a $4.3M sale with an additional $1.7M sale planned, and no meaningful net insider buying by executives was identified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AECOM's Forward P/E of 10.47 and PEG of 0.71 represent exceptional value for a company guiding to 14% earnings growth, with the stock declining from ~$80 to $71 while fundamentals strengthened [3]. ROE of 28.6% significantly exceeds the 15% target, driven by the asset-light professional services model. D/E of 135% is elevated but manageable for a services firm with stable recurring cash flows. Q2 FY2026 delivered record 16.5% segment adjusted operating margin (up 50bps YoY) and net income of $184M (up 19%) with EPS of $1.42 (up 22%) [1]. Total revenue grew only 1% to $3.8B due to pass-through dynamics, but NSR grew 4% as reported and 8% in Americas design at constant currency. Profit margin of 3.2% on total revenue understates the true margin quality — NSR-based margins are at record levels and expanding toward the 20%+ FY2028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AECOM under Troy Rudd shows meaningful infinite game characteristics — the divestiture of profitable construction businesses to focus on higher-margin advisory reflects willingness to sacrifice near-term revenue for long-term positioning, and the Sustainable Legacies strategy connects daily work to genuine societal purpose. However, the company's acquisition-driven growth history and relatively short track record under the current strategy (since 2020) mean the infinite game credentials are still being established rather than proven through multiple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AECOM's purpose of 'delivering a better world' through infrastructure, formalized in the Sustainable Legacies strategy, connects the company's technical expertise to genuine societal benefit — clean water, resilient transportation, sustainable energy systems [4][5]. Troy Rudd has aligned the Think and Act Globally strategy around this purpose since 2020, and the SBTi-approved net-zero targets validate the commitment. However, the cause has been articulated only recently (post-2020) and hasn't survived a true existential test or multi-decade consistency to earn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AECOM's 'Leadership at All Levels' development programs and Glassdoor rating of 3.6/5 suggest an adequate-trust organization without major cultural red flags [6]. Leadership continuity under Rudd since 2020 provides stability. However, AECOM's acquisition-driven growth history means the company has 'housed a variety of cultures under one roof,' and integration challenges persist according to employee reviews. No evidence of exceptional empowerment or above-average retention for a 52,000-person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AECOM's strategic focus on 'winning the right work' — high-margin, design-led projects — rather than pursuing all revenue reflects a learning-oriented competitive approach [1]. Management acknowledges the competitive strengths of Jacobs, WSP Global, and Arcadis in specific markets and uses these rivalries to drive margin improvement and service quality. The company frames competition as motivation for self-improvement rather than market share maximization.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AECOM's pivot from a construction-heavy conglomerate to a focused professional services and advisory firm represents meaningful strategic evolution — shedding lower-margin, higher-risk business lines to create a more resilient model [1][2]. The company has also adapted to sustainability-driven infrastructure demand and AI data center design. These changes were significant but incremental over several years rather than a single transformative moment — AECOM still does infrastructure consulting, just with a different margin profile.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Troy Rudd's decision to divest AECOM's construction management and self-perform businesses — walking away from billions in revenue — to focus on higher-margin professional services demonstrates genuine courage and long-term thinking [1][2]. Management's commitment to 20%+ operating margin by FY2028 and refusal to chase low-margin construction revenue shows prioritization of quality over size. However, the transformation was partly competitive necessity (peers had already moved to asset-light models) and consistent executive selling signals moderate personal conviction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AECOM is executing a compelling professional services transformation, delivering record 16.5% adjusted EBITDA margins in Q2 FY2026 with net income up 19% to $184M and EPS up 22% to $1.42 [1]. The stock trades at a forward P/E of 10.47 and PEG of 0.71 — a significant discount to professional services peers like Jacobs (~14x) and WSP (20x+) — despite record $26.2B backlog (up 8% YoY), 1.5x book-to-burn ratio sustained for 21 consecutive quarters, and a clear path to 20%+ margins by FY2028 through AECOM AI and advisory growth [1][3]. Secular tailwinds from IIJA infrastructure spending, energy transition, and AI data center construction provide multi-year demand visibility, with management raising FY2026 guidance to 14% earnings growth at midpoint.</w:t>
      </w:r>
    </w:p>
    <w:p>
      <w:pPr>
        <w:spacing w:after="120"/>
      </w:pPr>
      <w:r>
        <w:rPr>
          <w:rFonts w:ascii="Calibri" w:hAnsi="Calibri"/>
          <w:b w:val="0"/>
          <w:color w:val="3A4A28"/>
          <w:sz w:val="20"/>
        </w:rPr>
        <w:t>The bear case centers on AECOM's structurally thin net profit margin (3.2% on total revenue including pass-throughs), which amplifies any revenue weakness or cost inflation — even modest increases in labor costs or project overruns can disproportionately impact earnings [3]. D/E of 135% is elevated for a professional services firm and limits capital allocation flexibility. Total revenue grew only 1% YoY in Q2 FY2026 despite record backlogs, and while NSR growth is stronger (4% reported, 8% Americas constant-currency), the gap between headline revenue and the quality metric creates investor confusion and potential undervaluation [1]. Net insider selling ($4.3M by COO Poloni) weakens the conviction signal [7]. Post-IIJA infrastructure spending deceleration after 2028 could compress the secular growth tailwind, and government budget pressures may slow project awards. The stock's 15% decline from its April highs suggests the market is pricing in execution risk on the margin expansion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Advisory business accelerating toward 20%+ margin target by FY2028 as AECOM AI proprietary capabilities drive automation of lower-value design tasks and shift mix toward higher-margin consulting engagements</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boom creating a multi-year demand pipeline — AECOM is designing major projects including the €1.9B Nostrum Evergreen campus and benefits from every hyperscaler capacity expansion globally</w:t>
      </w:r>
    </w:p>
    <w:p>
      <w:pPr>
        <w:spacing w:before="40" w:after="40"/>
        <w:ind w:left="283"/>
      </w:pPr>
      <w:r>
        <w:rPr>
          <w:rFonts w:ascii="Calibri" w:hAnsi="Calibri"/>
          <w:b/>
          <w:color w:val="4A6B25"/>
          <w:sz w:val="20"/>
        </w:rPr>
        <w:t xml:space="preserve">3. </w:t>
      </w:r>
      <w:r>
        <w:rPr>
          <w:rFonts w:ascii="Calibri" w:hAnsi="Calibri"/>
          <w:b w:val="0"/>
          <w:color w:val="3A4A28"/>
          <w:sz w:val="20"/>
        </w:rPr>
        <w:t>Record $26.2B backlog with 1.5x book-to-burn ratio for 21 consecutive quarters and double-digit pipeline growth providing 6+ quarters of revenue visibility, with FY2026 guidance raised to 14% earnings growth at midpoint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3.2% on total revenue means any slowdown in pass-through project activity, labor cost inflation, or project execution issues could disproportionately impact earnings and dividend coverage</w:t>
      </w:r>
    </w:p>
    <w:p>
      <w:pPr>
        <w:spacing w:before="40" w:after="40"/>
        <w:ind w:left="283"/>
      </w:pPr>
      <w:r>
        <w:rPr>
          <w:rFonts w:ascii="Calibri" w:hAnsi="Calibri"/>
          <w:b/>
          <w:color w:val="4A6B25"/>
          <w:sz w:val="20"/>
        </w:rPr>
        <w:t xml:space="preserve">2. </w:t>
      </w:r>
      <w:r>
        <w:rPr>
          <w:rFonts w:ascii="Calibri" w:hAnsi="Calibri"/>
          <w:b w:val="0"/>
          <w:color w:val="3A4A28"/>
          <w:sz w:val="20"/>
        </w:rPr>
        <w:t>D/E of 135% and elevated net debt limits financial flexibility for M&amp;A or shareholder returns, and rising interest rates increase debt servicing costs on the leveraged capital structure</w:t>
      </w:r>
    </w:p>
    <w:p>
      <w:pPr>
        <w:spacing w:before="40" w:after="40"/>
        <w:ind w:left="283"/>
      </w:pPr>
      <w:r>
        <w:rPr>
          <w:rFonts w:ascii="Calibri" w:hAnsi="Calibri"/>
          <w:b/>
          <w:color w:val="4A6B25"/>
          <w:sz w:val="20"/>
        </w:rPr>
        <w:t xml:space="preserve">3. </w:t>
      </w:r>
      <w:r>
        <w:rPr>
          <w:rFonts w:ascii="Calibri" w:hAnsi="Calibri"/>
          <w:b w:val="0"/>
          <w:color w:val="3A4A28"/>
          <w:sz w:val="20"/>
        </w:rPr>
        <w:t>Post-IIJA infrastructure spending deceleration in the US after 2028 could compress the secular growth tailwind, and government budget pressures from deficit reduction may slow project awards in AECOM's core public-sector end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AECOM's core business — physical infrastructure design, environmental engineering, regulatory permitting, and construction management advisory — involves deeply regulated processes, site-specific physical inspections, and complex stakeholder management that AI structurally cannot displace [1][5]. Infrastructure spending is increasing secularly (IIJA, CHIPS Act, global energy transition), and AI data center construction is directly additive to AECOM's pipeline — the company is designing the €1.9B Nostrum Evergreen AI data center campus and benefits from every hyperscaler expansion. Some CAD/BIM design and structural analysis work faces partial automation from AI tools, keeping the score below IMMUNE territory, but the complex engineering judgment, permitting expertise, and client relationships that define AECOM's value proposition are structurally defensible. AI Opportunity (1/1): AECOM generates revenue from AI-related infrastructure design (data centers, power systems for AI compute) and deploys proprietary 'AECOM AI' internally to drive margin expansion toward the 20%+ target by FY2028, with specific evidence of AI-driven efficiency gains enabling record 16.5% margins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AECOM Q2 FY2026 Earnings Release — $3.8B revenue (up 1%), $184M net income (up 19%), EPS $1.42 (up 22%), record 16.5% adjusted EBITDA margin, $26.2B record backlog, guidance raised, May 2026</w:t>
      </w:r>
    </w:p>
    <w:p>
      <w:pPr>
        <w:spacing w:before="20" w:after="20"/>
        <w:ind w:left="170"/>
      </w:pPr>
      <w:r>
        <w:rPr>
          <w:rFonts w:ascii="Calibri" w:hAnsi="Calibri"/>
          <w:b/>
          <w:color w:val="4A6B25"/>
          <w:sz w:val="15"/>
        </w:rPr>
        <w:t xml:space="preserve">2. </w:t>
      </w:r>
      <w:r>
        <w:rPr>
          <w:rFonts w:ascii="Calibri" w:hAnsi="Calibri"/>
          <w:b w:val="0"/>
          <w:color w:val="3A4A28"/>
          <w:sz w:val="17"/>
        </w:rPr>
        <w:t>AECOM Q1 FY2026 Earnings Release — 9% adjusted NSR growth, record operating margins,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ACM Key Statistics (Forward P/E 10.47, PEG 0.71, D/E 135.2%, ROE 28.6%),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AECOM Sustainable Legacies ESG Strategy — net-zero targets approved by Science Based Targets initiative, aecom.com,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AECOM Leadership, Troy Rudd CEO Bio, and AI Data Center Design (Nostrum Evergreen €1.9B campus) — aecom.com,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Glassdoor — AECOM Reviews (3.6/5, 11,192 reviews),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Simply Wall St — ACM Insider Transactions (COO Poloni $4.3M sale, net insider selling),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