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AEE</w:t>
      </w:r>
      <w:r>
        <w:rPr>
          <w:rFonts w:ascii="Calibri" w:hAnsi="Calibri"/>
          <w:b/>
          <w:color w:val="1A2010"/>
          <w:sz w:val="40"/>
        </w:rPr>
        <w:t xml:space="preserve">  Ameren Corporation</w:t>
      </w:r>
    </w:p>
    <w:p>
      <w:pPr>
        <w:spacing w:after="120"/>
      </w:pPr>
      <w:r>
        <w:rPr>
          <w:rFonts w:ascii="Calibri" w:hAnsi="Calibri"/>
          <w:b/>
          <w:color w:val="6E8450"/>
          <w:sz w:val="18"/>
        </w:rPr>
        <w:t>DIVIDEND SLEEVE · 2026-07-21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&amp; Gas Utilities · NYSE · United States</w:t>
      </w:r>
    </w:p>
    <w:p>
      <w:pPr>
        <w:spacing w:after="80"/>
      </w:pPr>
      <w:r>
        <w:rPr>
          <w:rFonts w:ascii="Calibri" w:hAnsi="Calibri"/>
          <w:b w:val="0"/>
          <w:color w:val="3A4A28"/>
          <w:sz w:val="20"/>
        </w:rPr>
        <w:t>Ameren Corporation is a regulated electric and natural gas utility holding company serving approximately 2.4 million electric and 900,000 natural gas customers across Missouri and Illinois. The company operates through Ameren Missouri, Ameren Illinois Electric, Ameren Illinois Natural Gas, and Ameren Transmission segments. Ameren is pursuing a $31.8 billion infrastructure investment plan through 2030 and a $70 billion pipeline through 2035, with rate base growth projected at 10.6% CAGR. Founded in 1997 through the merger of Union Electric Company and CIPSCO Incorporated, headquartered in St. Louis, Missouri.</w:t>
      </w:r>
    </w:p>
    <w:p>
      <w:r>
        <w:rPr>
          <w:rFonts w:ascii="Calibri" w:hAnsi="Calibri"/>
          <w:b/>
          <w:color w:val="6E8450"/>
          <w:sz w:val="18"/>
        </w:rPr>
        <w:t>9,000 Employees · https://www.ameren.com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 a regulated utility, Ameren's innovation is measured in infrastructure modernization rather than product launches. The company has significantly expanded capital deployment -- $1,574 million in Q1 2026 alone -- to modernize grid reliability, resilience, and capacity [1]. However, this represents incremental infrastructure investment, not a business model transformation or new revenue stream. AI Deployment (0/2): No evidence of AI deployment with measurable results. Ameren has a Senior VP of Corporate Strategy and Innovation (Mark Fronmuller) overseeing digital and customer experience [3], but no specific AI products, AI-driven cost savings, or AI revenue have been reported. Market Share (2/2): Ameren operates as a regulated monopoly in its Missouri and Illinois service territories, serving 2.4 million electric and 900,000 natural gas customers [1][4]. By definition, the company has 100% market share in its regulated service areas. Product Pipeline (1/2): The $31.8 billion infrastructure investment plan through 2030 and $70 billion pipeline through 2035 provide exceptional visibility into capital deployment [2]. Large load agreements from data centers and electrification create specific growth catalysts. However, these are capital investments, not product launches. R&amp;D Intensity (0/1): Utilities do not report R&amp;D spending separately. Innovation investment is embedded in capital expenditures and operating budgets.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Ameren's mission is 'To power the quality of life' with a vision of 'Leading the way to a sustainable energy future' [4]. This is clear and identifies a purpose beyond profit -- powering quality of life connects energy delivery to human wellbeing. However, it is not distinctive among utilities; many peers articulate similar aspirations around reliable, affordable, sustainable energy. The mission is specific enough to guide decisions (infrastructure investment, clean energy transition) but not transformative in the Sinek sense. Community Impact (1/2): Ameren commits to community support as one of three core metrics beyond the balance sheet, alongside reliable energy and environmental stewardship [4]. However, no specific charitable programs, foundation giving amounts, or measurable community investment data were identified in research. General corporate citizenship without distinctive programs. Employee Retention (0/2): No specific employee retention, tenure, or turnover data was found. Ameren has approximately 9,000 employees but publicly available culture data is limited. Insider Buying (0/2): Significant insider selling was identified -- $1.3 million sold by insiders in the past 3 months [5]. No meaningful net insider buying was found. This suggests management is taking profits rather than demonstrating conviction through personal investment.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distance-from-target methodology. Ameren's infrastructure metrics are strong across most dimensions. D/E of 157.16% is elevated relative to the 70% target (score 0.62), reflecting the capital-intensive nature of regulated utilities that finance infrastructure through long-term debt supported by regulated returns [5]. ROE of 11.83% is below the 15% target (score 0.79) but typical for a regulated utility with large equity base [5]. Revenue Growth YoY of 15.4% in FY2025 exceeds the 10% target, driven by infrastructure investment, rate case outcomes, and weather [2]. Revenue Growth 5yr CAGR of approximately 8.7% (from $5.8B in 2020 to $8.8B in 2025) approaches the 10% target [2]. Forward P/E of 20.77 is near the 20 target (score 0.98) [5]. Profit margin of 17.8% is slightly below the 20% target (score 0.89) [5]. Dividend metrics are excellent: payout ratio of 52.75% within the company's target range of 55-65%, 25 consecutive years of payments, 12 consecutive years of growth, and 5-year dividend growth CAGR of 7.26% exceeding the 6% target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Ameren displays elements of long-term thinking inherent to regulated utilities -- multi-decade infrastructure investment plans, consistent dividend growth, and a clear purpose around powering quality of life. However, the company's structure as a regulated monopoly limits its ability to demonstrate key infinite game attributes: existential flexibility (it cannot reinvent its business model), worthy rivals (it has no competitors in its service territory), and courage to lead (capital allocation is largely dictated by regulatory frameworks rather than management vision). The genuine long-term orientation exists within a structurally finite game context.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'Power the quality of life' and 'Leading the way to a sustainable energy future' are genuine purpose statements that connect energy delivery to human wellbeing and environmental stewardship [4]. The company's multi-decade investment plans ($31.8B through 2030, $70B through 2035) demonstrate that strategic decisions trace back to this purpose [2]. Leadership references this mission when discussing capital allocation priorities. However, the purpose has not been dramatically tested through crisis or leadership transitions the way canonical just causes have been.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Ameren has demonstrated orderly leadership succession: CEO Martin Lyons leads with a newly created Group President role for Michael Moehn, and CFO succession to Lenny Singh -- all planned transitions that suggest organizational stability [3]. The creation of dedicated Strategy and Innovation leadership shows investment in employee capabilities. However, no specific employee culture, retention, or psychological safety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Ameren has no direct competitors in its service territories. The company does not face competitive pressure that would create worthy rivals in Sinek's framework. While it benchmarks against other utilities for operational excellence, this is regulatory compliance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Ameren is structurally rigid by design. As a regulated utility, it cannot abandon its core business, enter entirely new markets, or fundamentally reinvent itself. The company is evolving its generation mix toward clean energy and investing in grid modernization, but these changes are incremental and largely mandated by regulatory and policy frameworks rather than representing voluntary strategic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Ameren's commitment to $31.8 billion in infrastructure investment through 2030 represents meaningful long-term capital allocation [2]. The company's push for rate base growth of 10.6% CAGR requires sustained regulatory engagement and customer relationship management. The clean energy transition involves some risk in technology selection and regulatory recovery. However, these investments are supported by regulated returns, limiting the real downside risk that characterizes truly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Ameren delivered strong Q1 2026 results with net income of $357 million ($1.28 per diluted share), up 24% from Q1 2025 ($289 million, $1.07 per share), driven by earnings on infrastructure investments and constructive rate case outcomes [1]. The company reaffirmed 2026 EPS guidance of $5.25-$5.45 and projects 6-8% annual EPS growth through 2030, underpinned by $31.8 billion of infrastructure investments driving rate base growth of 10.6% CAGR [2]. With a dividend yield of 2.70%, 12 consecutive years of dividend growth at a 7.26% CAGR, and a payout ratio of 52.75%, Ameren offers a compelling income growth profile. The AI data center buildout creates an incremental demand tailwind for electricity that directly benefits Ameren's regulated operations. Forward P/E of 20.77 is reasonable for a high-quality regulated utility with above-average growth visibility [5].</w:t>
      </w:r>
    </w:p>
    <w:p>
      <w:pPr>
        <w:spacing w:after="120"/>
      </w:pPr>
      <w:r>
        <w:rPr>
          <w:rFonts w:ascii="Calibri" w:hAnsi="Calibri"/>
          <w:b w:val="0"/>
          <w:color w:val="3A4A28"/>
          <w:sz w:val="20"/>
        </w:rPr>
        <w:t>The bear case focuses on structural limitations of the regulated utility model. D/E of 157.16% reflects the capital intensity required to fund $31.8 billion in planned investments, creating balance sheet leverage that constrains financial flexibility [5]. ROE of 11.83% is below the 15% target and reflects the regulatory constraint on earning excessive returns. Insider selling of $1.3 million in the past three months suggests management may view the stock as fairly valued at current levels. The Forward P/E of 20.77 provides little margin of safety if interest rates rise (compressing utility valuations) or if regulatory outcomes are less favorable than expected. Revenue growth of 15.4% in FY2025 was partly weather-driven and may not repeat. The 5-year revenue CAGR of 8.7% could decelerate if large load agreements face delays or regulatory approvals take longer than anticipated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large load agreements from data centers and electrification, driving incremental rate base growth above the 10.6% CAGR base plan through 2030</w:t>
      </w:r>
    </w:p>
    <w:p>
      <w:pPr>
        <w:spacing w:before="40" w:after="40"/>
        <w:ind w:left="283"/>
      </w:pPr>
      <w:r>
        <w:rPr>
          <w:rFonts w:ascii="Calibri" w:hAnsi="Calibri"/>
          <w:b/>
          <w:color w:val="4A6B25"/>
          <w:sz w:val="20"/>
        </w:rPr>
        <w:t xml:space="preserve">2. </w:t>
      </w:r>
      <w:r>
        <w:rPr>
          <w:rFonts w:ascii="Calibri" w:hAnsi="Calibri"/>
          <w:b w:val="0"/>
          <w:color w:val="3A4A28"/>
          <w:sz w:val="20"/>
        </w:rPr>
        <w:t>Constructive regulatory outcomes in pending Missouri and Illinois rate cases, supporting full recovery of the $31.8 billion infrastructure investment program</w:t>
      </w:r>
    </w:p>
    <w:p>
      <w:pPr>
        <w:spacing w:before="40" w:after="40"/>
        <w:ind w:left="283"/>
      </w:pPr>
      <w:r>
        <w:rPr>
          <w:rFonts w:ascii="Calibri" w:hAnsi="Calibri"/>
          <w:b/>
          <w:color w:val="4A6B25"/>
          <w:sz w:val="20"/>
        </w:rPr>
        <w:t xml:space="preserve">3. </w:t>
      </w:r>
      <w:r>
        <w:rPr>
          <w:rFonts w:ascii="Calibri" w:hAnsi="Calibri"/>
          <w:b w:val="0"/>
          <w:color w:val="3A4A28"/>
          <w:sz w:val="20"/>
        </w:rPr>
        <w:t>Dividend growth acceleration toward the upper end of the 6-8% EPS growth guidance range as infrastructure investments compound into rate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157.16% and ongoing capital requirements create refinancing risk if interest rates remain elevated, potentially compressing the spread between cost of capital and allowed returns</w:t>
      </w:r>
    </w:p>
    <w:p>
      <w:pPr>
        <w:spacing w:before="40" w:after="40"/>
        <w:ind w:left="283"/>
      </w:pPr>
      <w:r>
        <w:rPr>
          <w:rFonts w:ascii="Calibri" w:hAnsi="Calibri"/>
          <w:b/>
          <w:color w:val="4A6B25"/>
          <w:sz w:val="20"/>
        </w:rPr>
        <w:t xml:space="preserve">2. </w:t>
      </w:r>
      <w:r>
        <w:rPr>
          <w:rFonts w:ascii="Calibri" w:hAnsi="Calibri"/>
          <w:b w:val="0"/>
          <w:color w:val="3A4A28"/>
          <w:sz w:val="20"/>
        </w:rPr>
        <w:t>Regulatory risk in Missouri and Illinois: unfavorable rate case outcomes could reduce authorized returns on the $31.8B investment plan, constraining EPS growth below the 6-8% guidance range</w:t>
      </w:r>
    </w:p>
    <w:p>
      <w:pPr>
        <w:spacing w:before="40" w:after="40"/>
        <w:ind w:left="283"/>
      </w:pPr>
      <w:r>
        <w:rPr>
          <w:rFonts w:ascii="Calibri" w:hAnsi="Calibri"/>
          <w:b/>
          <w:color w:val="4A6B25"/>
          <w:sz w:val="20"/>
        </w:rPr>
        <w:t xml:space="preserve">3. </w:t>
      </w:r>
      <w:r>
        <w:rPr>
          <w:rFonts w:ascii="Calibri" w:hAnsi="Calibri"/>
          <w:b w:val="0"/>
          <w:color w:val="3A4A28"/>
          <w:sz w:val="20"/>
        </w:rPr>
        <w:t>Insider selling of $1.3M in the past three months and no insider buying signal that management may view the stock as fully valued at current multiples near 21x forward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Ameren operates critical physical infrastructure -- power generation plants, transmission lines, distribution networks, and natural gas pipelines -- that AI structurally cannot displace [1]. Regulated utilities require massive physical assets, extensive regulatory frameworks (state utility commissions, FERC), and local workforce to maintain and operate. AI actually increases demand for Ameren's core product: electricity. The AI data center buildout is driving significant new load agreements in Ameren's service territory, creating a tailwind rather than a headwind [2]. The company's $70 billion infrastructure investment pipeline through 2035 is partly driven by anticipated demand from data centers and electrification. No analyst has identified AI as a disruption risk to regulated utilities; the consensus is that AI is a demand catalyst. AI Opportunity (0/1): Ameren does not generate revenue from AI products or services. The company may use AI internally for grid management, customer service, or predictive maintenance, but no specific AI revenue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Ameren Corporation Q1 2026 Earnings Release --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Ameren 2025 Annual Results and 2026 Guidance Press Release -- amereninvestors.com, February 2026</w:t>
      </w:r>
    </w:p>
    <w:p>
      <w:pPr>
        <w:spacing w:before="20" w:after="20"/>
        <w:ind w:left="170"/>
      </w:pPr>
      <w:r>
        <w:rPr>
          <w:rFonts w:ascii="Calibri" w:hAnsi="Calibri"/>
          <w:b/>
          <w:color w:val="4A6B25"/>
          <w:sz w:val="15"/>
        </w:rPr>
        <w:t xml:space="preserve">3. </w:t>
      </w:r>
      <w:r>
        <w:rPr>
          <w:rFonts w:ascii="Calibri" w:hAnsi="Calibri"/>
          <w:b w:val="0"/>
          <w:color w:val="3A4A28"/>
          <w:sz w:val="17"/>
        </w:rPr>
        <w:t>Ameren Corporation Leadership Changes Press Release -- prnewswire.com, 2025</w:t>
      </w:r>
    </w:p>
    <w:p>
      <w:pPr>
        <w:spacing w:before="20" w:after="20"/>
        <w:ind w:left="170"/>
      </w:pPr>
      <w:r>
        <w:rPr>
          <w:rFonts w:ascii="Calibri" w:hAnsi="Calibri"/>
          <w:b/>
          <w:color w:val="4A6B25"/>
          <w:sz w:val="15"/>
        </w:rPr>
        <w:t xml:space="preserve">4. </w:t>
      </w:r>
      <w:r>
        <w:rPr>
          <w:rFonts w:ascii="Calibri" w:hAnsi="Calibri"/>
          <w:b w:val="0"/>
          <w:color w:val="3A4A28"/>
          <w:sz w:val="17"/>
        </w:rPr>
        <w:t>Ameren Corporate Website -- Mission, Vision, Values -- ameren.com,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AEE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