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AGRO</w:t>
      </w:r>
      <w:r>
        <w:rPr>
          <w:rFonts w:ascii="Calibri" w:hAnsi="Calibri"/>
          <w:b/>
          <w:color w:val="1A2010"/>
          <w:sz w:val="40"/>
        </w:rPr>
        <w:t xml:space="preserve">  Adecoagro S.A.</w:t>
      </w:r>
    </w:p>
    <w:p>
      <w:pPr>
        <w:spacing w:after="120"/>
      </w:pPr>
      <w:r>
        <w:rPr>
          <w:rFonts w:ascii="Calibri" w:hAnsi="Calibri"/>
          <w:b/>
          <w:color w:val="6E8450"/>
          <w:sz w:val="18"/>
        </w:rPr>
        <w:t>GROWTH SLEEVE · 2026-08-08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NYSE · Luxembourg</w:t>
      </w:r>
    </w:p>
    <w:p>
      <w:pPr>
        <w:spacing w:after="80"/>
      </w:pPr>
      <w:r>
        <w:rPr>
          <w:rFonts w:ascii="Calibri" w:hAnsi="Calibri"/>
          <w:b w:val="0"/>
          <w:color w:val="3A4A28"/>
          <w:sz w:val="20"/>
        </w:rPr>
        <w:t>Adecoagro S.A. is a leading sustainable agroindustrial company in South America with operations across Argentina, Brazil, and Uruguay. The company operates through three segments: Sugar, Ethanol &amp; Energy (Brazilian sugarcane operations); Fertilizers (90% ownership of Profertil, Argentina's sole urea producer); and Food &amp; Agriculture (crops, dairy, rice). Co-founded by CEO Mariano Bosch in 2002.</w:t>
      </w:r>
    </w:p>
    <w:p>
      <w:r>
        <w:rPr>
          <w:rFonts w:ascii="Calibri" w:hAnsi="Calibri"/>
          <w:b/>
          <w:color w:val="6E8450"/>
          <w:sz w:val="18"/>
        </w:rPr>
        <w:t>9,000 Employees · https://www.adecoagro.com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$1.1B acquisition of 90% of Profertil in December 2025 was a genuinely transformative move that redefined Adecoagro from a pure agricultural company into an integrated ag-fertilizer platform, with Profertil now the main earnings engine driving Q1 2026 EBITDA up 139% [1][4]. This represents a business model transformation comparable to a major strategic pivot. AI Deployment (0/2): No AI-powered products or AI-driven operational improvements identified; operations rely on traditional agriculture, industrial sugar processing, and chemical fertilizer manufacturing. Market Share (2/2): Profertil is Argentina's sole urea producer with 1.3M tons of installed capacity, supplying approximately 60% of domestic demand — a monopoly position with no domestic competitors [4]. Adecoagro is also a leading sugar and ethanol producer in Argentina. Product Pipeline (0/2): No specific next-generation products announced with timelines; the near-term focus is on Profertil integration and operational optimization. R&amp;D Intensity (0/1): No disclosed R&amp;D spending; the company operates in commodity production where innovation is process-oriented rather than product-driven.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Adecoagro describes itself as 'a leading sustainable production company in South America,' with a dedicated sustainability portal and ESG committee [6]. The purpose is clear and connects agricultural production to sustainability, but it doesn't articulate a transformative vision of the future — it's a well-stated version of what the company does, not why it exists. Community Impact (0/2): ESG committee and annual sustainability reports are published, but no specific charitable programs, foundation activity, or community investment dollar amounts were identified in public materials [6]. Employee Retention (2/2): Average management tenure of 16.6 years is exceptional, and CEO Mariano Bosch has led the company since its founding in 2002 — 24 years of continuous leadership demonstrates an organization where senior people stay because they believe in the long-term mission [3]. Insider Buying (0/2): Recent insider activity shows net selling — director Manuela Vaz Artigas sold 1,000 shares at $15.03 and director Oscar Leon Bentancor sold 1,163 shares at $13.03 in April 2026 [5]. No meaningful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Profertil acquisition drove Q1 2026 revenue up 22.5% to $398.7M with EBITDA surging 139% to $85.8M, demonstrating the transformative earnings power of the fertilizer business [1]. However, the acquisition significantly leveraged the balance sheet — D/E of 116.27% is well above the 70% target, reflecting the $1.1B deal financed with debt and seller financing [2][4]. ROE of just 1.09% and profit margin of 0.91% reflect the early post-acquisition period where integration costs and depreciation weigh on reported profitability [2]. Forward P/E of 27.10 is elevated but reflects expected earnings ramp as Profertil contributes for a full year. The trailing P/E of 553.89 is distorted by minimal trailing GAAP earnings. Analysts forecast FY2026 EPS of $1.93, which would dramatically normalize valuation ratios.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Adecoagro demonstrates meaningful infinite game characteristics, anchored by co-founder CEO Mariano Bosch's 24-year tenure and a management team averaging 16.6 years. The $1.1B Profertil acquisition was a courageous, transformative bet that required significant financial risk in service of building a more durable, integrated agricultural platform. However, the company operates in commodity markets where quarterly earnings pressure and price volatility can force finite thinking, and the lack of a distinctive Just Cause beyond 'sustainable production' limits the inspirational dimension.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Adecoagro has a genuine purpose connecting agricultural production to sustainability and long-term food security in South America, validated by Bosch's 24-year commitment to building the company from scratch [3]. The sustainability portal, ESG committee, and integrated reporting demonstrate this isn't just marketing. However, the purpose — sustainable agricultural production — is not so distinctive that it differentiates from peers, and it hasn't been tested through the kind of multi-decade crisis that validates a truly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Average management tenure of 16.6 years is exceptional by any industry standard and signals a high-trust organization where senior leaders stay for decades because they believe in the mission and feel valued [3]. CEO Bosch's 24-year tenure as co-founder provides remarkable continuity. Long tenure across the management team suggests an organization with genuine psychological safety, stable leadership transitions, and a culture where people build careers rather than pad resumes.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Adecoagro operates in commodity markets where competition is primarily against market prices rather than specific rivals, and the company's Profertil acquisition created a domestic monopoly rather than a competitive learning environment. Earnings call language focuses on operational metrics, cost efficiency, and market positioning rather than learning from competitors'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Profertil acquisition represents a significant strategic evolution — adding a major fertilizer manufacturing business to what was primarily an agriculture and sugar/ethanol platform [4]. This is genuine business model expansion that enters an adjacent but distinct market (industrial chemicals). However, it's an adjacent move, not a transformative reinvention. The company remains fundamentally in South American commodity production, and the pivot was driven by opportunity (Nutrien selling its stake) rather than an existential strategic imperative.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$1.1B Profertil acquisition was an extraordinary act of strategic courage — Adecoagro bet the company on a single transformative deal, financing it with a combination of cash, debt, seller financing, and a $300M equity raise [4]. This was not an incremental move; it fundamentally changed the company's scale, earnings profile, and strategic positioning. Bosch's willingness to take on significant leverage (D/E rising to 116%) to secure Argentina's sole urea producer demonstrates the pattern of long-term, costly strategic bets that Sinek's framework rewards.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Adecoagro is undergoing a transformative shift driven by the $1.1B Profertil acquisition, which positions the company as an integrated agroindustrial-fertilizer platform with a monopoly on Argentine urea production [4]. Q1 2026 results validated the thesis: revenue rose 22.5% to $398.7M and EBITDA surged 139% to $85.8M, with fertilizers becoming the primary earnings driver [1]. Co-founder CEO Mariano Bosch's 24-year tenure and management team averaging 16.6 years provide exceptional operational continuity. Analyst consensus projects FY2026 EPS of $1.93, which would compress the forward P/E dramatically and bring valuations in line. At $9.97 with a 4.19% dividend yield, the stock offers both income and re-rating potential as Profertil integration materializes.</w:t>
      </w:r>
    </w:p>
    <w:p>
      <w:pPr>
        <w:spacing w:after="120"/>
      </w:pPr>
      <w:r>
        <w:rPr>
          <w:rFonts w:ascii="Calibri" w:hAnsi="Calibri"/>
          <w:b w:val="0"/>
          <w:color w:val="3A4A28"/>
          <w:sz w:val="20"/>
        </w:rPr>
        <w:t>The bear case centers on execution risk from the transformative Profertil acquisition. D/E of 116.27% is uncomfortably high, leaving little margin for error on integration — any operational disruption at Profertil's single urea plant would severely impact earnings and debt service capacity [2]. GAAP profitability remains negligible (0.91% net margin, 1.09% ROE) despite strong adjusted EBITDA, suggesting the earnings quality has yet to prove out on a fully-loaded basis [2]. Adecoagro's South American operations expose it to Argentine economic volatility — currency controls, inflation, and political risk that have historically created severe value destruction for foreign investors. The Q1 2026 EPS miss of -$0.24 versus consensus of $0.21 despite beating revenue estimates highlights the gap between top-line growth and bottom-line delivery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Profertil consolidation driving EBITDA toward the $467M pro forma run-rate, potentially compressing forward P/E to single digits and triggering institutional re-rating</w:t>
      </w:r>
    </w:p>
    <w:p>
      <w:pPr>
        <w:spacing w:before="40" w:after="40"/>
        <w:ind w:left="283"/>
      </w:pPr>
      <w:r>
        <w:rPr>
          <w:rFonts w:ascii="Calibri" w:hAnsi="Calibri"/>
          <w:b/>
          <w:color w:val="4A6B25"/>
          <w:sz w:val="20"/>
        </w:rPr>
        <w:t xml:space="preserve">2. </w:t>
      </w:r>
      <w:r>
        <w:rPr>
          <w:rFonts w:ascii="Calibri" w:hAnsi="Calibri"/>
          <w:b w:val="0"/>
          <w:color w:val="3A4A28"/>
          <w:sz w:val="20"/>
        </w:rPr>
        <w:t>Argentine economic stabilization under Milei government reducing currency risk and potentially attracting foreign capital to Argentine commodity producers</w:t>
      </w:r>
    </w:p>
    <w:p>
      <w:pPr>
        <w:spacing w:before="40" w:after="40"/>
        <w:ind w:left="283"/>
      </w:pPr>
      <w:r>
        <w:rPr>
          <w:rFonts w:ascii="Calibri" w:hAnsi="Calibri"/>
          <w:b/>
          <w:color w:val="4A6B25"/>
          <w:sz w:val="20"/>
        </w:rPr>
        <w:t xml:space="preserve">3. </w:t>
      </w:r>
      <w:r>
        <w:rPr>
          <w:rFonts w:ascii="Calibri" w:hAnsi="Calibri"/>
          <w:b w:val="0"/>
          <w:color w:val="3A4A28"/>
          <w:sz w:val="20"/>
        </w:rPr>
        <w:t>Rising global fertilizer demand driven by food security concerns and agricultural intensification, supporting urea pricing power for Profertil's monopoly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116.27% from the $1.1B Profertil acquisition creates significant financial fragility — any sustained downturn in urea or sugar prices could strain debt service capacity</w:t>
      </w:r>
    </w:p>
    <w:p>
      <w:pPr>
        <w:spacing w:before="40" w:after="40"/>
        <w:ind w:left="283"/>
      </w:pPr>
      <w:r>
        <w:rPr>
          <w:rFonts w:ascii="Calibri" w:hAnsi="Calibri"/>
          <w:b/>
          <w:color w:val="4A6B25"/>
          <w:sz w:val="20"/>
        </w:rPr>
        <w:t xml:space="preserve">2. </w:t>
      </w:r>
      <w:r>
        <w:rPr>
          <w:rFonts w:ascii="Calibri" w:hAnsi="Calibri"/>
          <w:b w:val="0"/>
          <w:color w:val="3A4A28"/>
          <w:sz w:val="20"/>
        </w:rPr>
        <w:t>Argentine macroeconomic and political risk including currency devaluation, capital controls, and policy uncertainty that has historically destroyed value for NYSE-listed Argentine companies</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Profertil's single urea production facility — any extended maintenance shutdown, natural gas supply disruption, or regulatory issue would disproportionately impact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Adecoagro's business is fundamentally immune to AI disruption — growing sugarcane in Brazil, producing ethanol and energy from biomass, farming crops across hundreds of thousands of hectares in Argentina, and manufacturing urea fertilizer through industrial chemical processes [4]. These operations require physical land, water, industrial facilities, and real-world logistics that AI structurally cannot replicate. Profertil's monopoly position as Argentina's sole urea producer adds a regulatory and infrastructure moat that is impervious to technology substitution. AI may actually increase demand for agricultural commodities and fertilizers as global food needs grow. AI Opportunity (0/1): No AI-related revenue streams. The company operates traditional industrial agriculture and chemical manufacturing with no reported AI product development or AI-driven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Adecoagro Q1 2026 Earnings Call — $398.7M Revenue (Up 22.5%), EBITDA Up 139%, EPS Miss,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AGRO Key Statistics, D/E 116.27%, ROE 1.09%, Profit Margin 0.91%,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Adecoagro Management Team Analysis, Average Tenure 16.6 Years,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Adecoagro Strategic Acquisition of Profertil — $1.1B for 90% Stake, Sole Argentine Urea Producer, PR Newswire, March 2026</w:t>
      </w:r>
    </w:p>
    <w:p>
      <w:pPr>
        <w:spacing w:before="20" w:after="20"/>
        <w:ind w:left="170"/>
      </w:pPr>
      <w:r>
        <w:rPr>
          <w:rFonts w:ascii="Calibri" w:hAnsi="Calibri"/>
          <w:b/>
          <w:color w:val="4A6B25"/>
          <w:sz w:val="15"/>
        </w:rPr>
        <w:t xml:space="preserve">5. </w:t>
      </w:r>
      <w:r>
        <w:rPr>
          <w:rFonts w:ascii="Calibri" w:hAnsi="Calibri"/>
          <w:b w:val="0"/>
          <w:color w:val="3A4A28"/>
          <w:sz w:val="17"/>
        </w:rPr>
        <w:t>StockTitan — AGRO Insider Trading Activity, Director Selling,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Adecoagro Sustainability Portal — ESG Committee, Integrated Reporting, sustainability.adecoagro.com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