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w:t>
      </w:r>
      <w:r>
        <w:rPr>
          <w:rFonts w:ascii="Calibri" w:hAnsi="Calibri"/>
          <w:b/>
          <w:color w:val="1A2010"/>
          <w:sz w:val="40"/>
        </w:rPr>
        <w:t xml:space="preserve">  First Majestic Silver Corp.</w:t>
      </w:r>
    </w:p>
    <w:p>
      <w:pPr>
        <w:spacing w:after="120"/>
      </w:pPr>
      <w:r>
        <w:rPr>
          <w:rFonts w:ascii="Calibri" w:hAnsi="Calibri"/>
          <w:b/>
          <w:color w:val="6E8450"/>
          <w:sz w:val="18"/>
        </w:rPr>
        <w:t>GROWTH SLEEVE · 2026-08-10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 Canada</w:t>
      </w:r>
    </w:p>
    <w:p>
      <w:pPr>
        <w:spacing w:after="80"/>
      </w:pPr>
      <w:r>
        <w:rPr>
          <w:rFonts w:ascii="Calibri" w:hAnsi="Calibri"/>
          <w:b w:val="0"/>
          <w:color w:val="3A4A28"/>
          <w:sz w:val="20"/>
        </w:rPr>
        <w:t>First Majestic Silver Corp. is one of the world's largest primary silver producers, operating three producing silver and gold mines in Mexico (San Dimas, Santa Elena, La Encantada) and the Los Gatos mine acquired through the Gatos Silver merger. Founded in 2002 by CEO Keith Neumeyer and headquartered in Vancouver, Canada, the company reported record Q1 2026 revenue of $476.7M (+95% YoY) and Q2 2026 revenue of $415.5M (+57% YoY), driven by surging silver and gold prices. Record treasury of $1.253B and free cash flow of $194.6M in Q2 2026.</w:t>
      </w:r>
    </w:p>
    <w:p>
      <w:r>
        <w:rPr>
          <w:rFonts w:ascii="Calibri" w:hAnsi="Calibri"/>
          <w:b/>
          <w:color w:val="6E8450"/>
          <w:sz w:val="18"/>
        </w:rPr>
        <w:t>4,200 Employees · https://www.firstmajestic.com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Majestic completed the acquisition of Gatos Silver in 2022, adding the world-class Los Gatos mine to its portfolio and meaningfully expanding silver and gold production capacity [1]. This was a significant portfolio enhancement that opened a new high-grade asset. However, the Jerritt Canyon Nevada operation was subsequently suspended due to cost challenges, and the core business model of silver/gold extraction remains unchanged. No transformative business model pivots. AI Deployment (0/2): No evidence of AI-powered products, AI-assisted mining operations, or quantified AI-driven efficiency gains. The company's operations rely on traditional mining methods with incremental automation. Market Share (1/2): First Majestic is among the top primary silver producers globally, producing 3.8M oz silver and 34,660 oz gold in Q2 2026 [2]. However, the silver mining market is highly fragmented with no single company holding dominant market share — production represents a small fraction of global silver supply (~3-4% of mine production). Product Pipeline (1/2): The company has active exploration programs at existing mines including La Encantada expansion, Santa Elena deep drilling, and Los Gatos resource expansion [1]. Production guidance targets continued growth, but mine development timelines are inherently uncertain and driven by geological discovery rather than planned product launches. R&amp;D Intensity (1/1): Exploration spending at First Majestic is at or above the silver mining industry average, reflecting ongoing investment in resource expansion and mine-life extension across all four operating mines.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Majestic's tagline — 'There's no substitute for silver' — is a commodity thesis rather than a mission. It positions silver as essential but does not articulate why the company exists beyond extracting precious metals or what future state the company is working to create [4]. CEO Neumeyer is a vocal silver advocate who speaks publicly about silver's industrial importance and monetary role, adding some personal conviction, but the corporate purpose remains generic for a mining company. Community Impact (1/2): The company publishes ESG sustainability reports detailing community programs at its Mexican operations, water recycling at mine sites (75% process water recycled at Jerritt Canyon), land reclamation programs, and community engagement initiatives [3]. The two-year collective agreement with 902 union workers at San Dimas demonstrates organized labor partnership. These represent standard mining industry social license activities. Employee Retention (1/2): Glassdoor rating of 4.0/5 from 45 reviews indicates generally positive employee sentiment, particularly regarding colleagues and work environment [4]. Some concerns about constant restructuring and limited career development paths. Average retention for the mining industry with no standout positive or negative data. Insider Buying (0/2): No evidence of meaningful net insider buying by CEO Neumeyer or other executives was identified. Neumeyer holds significant founder ownership but no recent purchases were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First Majestic's financial profile is exceptional in the current elevated precious metals environment. D/E of 9.0% reflects a near-debt-free balance sheet with $1.14B cash against $314M debt, providing a $826.8M net cash position [5]. Forward P/E of 13.6x is well below the 20x target, reflecting reasonable valuation despite the commodity price surge. Revenue growth YoY of 57% (Q2 2026) and estimated 5-year CAGR of ~22% both massively exceed targets, driven by 161% higher realized silver prices and 81% higher gold prices plus production growth [1][2]. Profit margin of 19.5% is just below the 20% target. Estimated forward PEG is well below 1.0x given the strong EPS growth trajectory. The only metric below target is ROE at 11.45% (target 15%), reflecting the large cash position diluting returns on equity. The stock clears the liquidity floor with estimated $160M+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Majestic Silver operates with a commodity producer's mindset — the company exists to extract silver profitably and return value to shareholders. While founder-CEO Keith Neumeyer's 24-year tenure and passionate advocacy for silver as a critical industrial and monetary metal provide genuine conviction, the company's strategic decisions are driven by commodity price cycles and asset economics rather than by a durable purpose that transcends the product. The strong union relationships and community engagement at Mexican operations reflect genuine stakeholder orientation, but the infinite game framework asks for more than good corporate citizenship — it asks whether the company is built to endure through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Neumeyer's advocacy for silver — arguing that 'there's no substitute for silver' in technology, green energy, and monetary systems — provides genuine conviction beyond pure profit extraction [4]. The company's commitment to responsible mining in Mexico through community engagement and environmental programs suggests some purpose-driven behavior. However, the stated cause is fundamentally about a commodity's importance, not about a vision of a future state that the company is uniquely positioned to create. If gold became more profitable, the company's strategic focus would shift accordingly — the cause does not constrain strategy in the way Sinek envisions.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from 45 reviews indicates a generally positive work environment with employees citing supportive colleagues and interesting work [4]. The two-year collective agreement ratified with 902 union workers at San Dimas demonstrates functional labor relations [3]. However, reviews cite constant restructuring and limited career development paths. The mining industry inherently involves hazardous working conditions that require safety-first culture — First Majestic's safety record is adequate but no standout positive data differentiates it from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competitors (Pan American Silver, Coeur Mining, Hecla Mining) as worthy rivals whose strengths inspire self-improvement. CEO Neumeyer's competitive commentary focuses on silver's positioning versus other commodities and investments rather than on learning from peer mining companies. The company's competitive strategy is asset-driven (acquiring and optimizing mines) rather than capability-driven.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Majestic has evolved from a single-mine operation to a multi-asset company spanning Mexico and Nevada, with the Gatos Silver acquisition being the most significant portfolio transformation [1]. The company's First Majestic Mint — a direct-to-consumer bullion retail operation — represents a novel vertical integration for a primary miner. These are meaningful business expansions, but the core business model of underground silver and gold mining remains unchanged. No evidence of transformative reinvention — the company mines silver today in fundamentally the same way it did when founded in 2002.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Neumeyer has demonstrated courage in maintaining the silver-focused strategy through multi-year commodity downturns when peers were diversifying or cutting production. The Gatos Silver acquisition during a period of depressed silver prices represented a bold contrarian bet that is now paying off with record revenue and cash flow [1][2]. Neumeyer has also been willing to publicly criticize perceived market manipulation in precious metals — an unusual stance for a public company CEO. However, these decisions were validated by subsequent price increases and can be attributed to contrarian conviction rather than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Majestic Silver at 13.6x forward earnings with a record $1.253B treasury and $826.8M net cash position is exceptionally well-capitalized to capitalize on the structural silver supply deficit driven by AI semiconductor demand, green energy (solar panels), and monetary demand [1][2]. Q1 2026 revenue surged 95% to $476.7M and Q2 2026 delivered $415.5M (+57%) with free cash flow of $194.6M (+150%), demonstrating massive operating leverage to silver prices that have risen 161% YoY [1]. Forward PEG estimated below 0.5x suggests the market has not fully priced in the earnings growth trajectory. Founder-CEO Neumeyer's 24-year tenure provides strategic continuity, and the Gatos Silver acquisition is now contributing to record production levels. Silver's critical role in AI infrastructure (semiconductor conductivity, GPU thermal solutions) creates a secular demand tailwind beyond traditional monetary and jewelry markets.</w:t>
      </w:r>
    </w:p>
    <w:p>
      <w:pPr>
        <w:spacing w:after="120"/>
      </w:pPr>
      <w:r>
        <w:rPr>
          <w:rFonts w:ascii="Calibri" w:hAnsi="Calibri"/>
          <w:b w:val="0"/>
          <w:color w:val="3A4A28"/>
          <w:sz w:val="20"/>
        </w:rPr>
        <w:t>The bear case centers on commodity price dependency and operational concentration risk. First Majestic's record financial performance is almost entirely attributable to elevated silver (+161% YoY) and gold (+81% YoY) prices — if precious metals prices normalize toward historical averages, revenue, margins, and free cash flow would decline proportionally [1][2]. ROE of only 11.45% despite record revenue suggests the company's capital efficiency is mediocre — the large cash position dilutes returns. All three primary producing mines (San Dimas, Santa Elena, La Encantada) are located in Mexico, creating concentrated geopolitical, regulatory, and labor risk. The silver mining industry is inherently capital-intensive with declining ore grades requiring increasing investment to maintain production levels. Profit margin of 19.5% is below target despite historically favorable pricing, suggesting structural cost challenges. The minimal 0.22% dividend yield provides negligible downside protection, and the Inspire Impact Score of 0 (MIXED) with no positive or negative attributions reflects limited ESG data availability.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silver supply deficit from AI semiconductor demand (silver conductivity for high-speed data transmission), solar panel manufacturing, and monetary demand creating a secular price floor above historical averages [1]</w:t>
      </w:r>
    </w:p>
    <w:p>
      <w:pPr>
        <w:spacing w:before="40" w:after="40"/>
        <w:ind w:left="283"/>
      </w:pPr>
      <w:r>
        <w:rPr>
          <w:rFonts w:ascii="Calibri" w:hAnsi="Calibri"/>
          <w:b/>
          <w:color w:val="4A6B25"/>
          <w:sz w:val="20"/>
        </w:rPr>
        <w:t xml:space="preserve">2. </w:t>
      </w:r>
      <w:r>
        <w:rPr>
          <w:rFonts w:ascii="Calibri" w:hAnsi="Calibri"/>
          <w:b w:val="0"/>
          <w:color w:val="3A4A28"/>
          <w:sz w:val="20"/>
        </w:rPr>
        <w:t>Record $1.253B treasury with $826.8M net cash provides acquisition firepower for accretive mine purchases during any commodity price weakness, a competitive advantage over leveraged peers [2]</w:t>
      </w:r>
    </w:p>
    <w:p>
      <w:pPr>
        <w:spacing w:before="40" w:after="40"/>
        <w:ind w:left="283"/>
      </w:pPr>
      <w:r>
        <w:rPr>
          <w:rFonts w:ascii="Calibri" w:hAnsi="Calibri"/>
          <w:b/>
          <w:color w:val="4A6B25"/>
          <w:sz w:val="20"/>
        </w:rPr>
        <w:t xml:space="preserve">3. </w:t>
      </w:r>
      <w:r>
        <w:rPr>
          <w:rFonts w:ascii="Calibri" w:hAnsi="Calibri"/>
          <w:b w:val="0"/>
          <w:color w:val="3A4A28"/>
          <w:sz w:val="20"/>
        </w:rPr>
        <w:t>Increased quarterly dividend and potential for further dividend growth as free cash flow of $194.6M/quarter accumulates, potentially attracting income-oriented investors and re-rating the stock toward a yield-supported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 revenue surged 95% in Q1 and 57% in Q2 almost entirely due to elevated silver (+161%) and gold (+81%) prices rather than operational improvement, creating severe downside risk if precious metals prices normalize [1][2]</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with three primary mines in Mexico exposes the company to Mexican regulatory changes, labor disputes, cartel-related security risks, and taxation policy shifts that could disrupt operations or increase costs [3]</w:t>
      </w:r>
    </w:p>
    <w:p>
      <w:pPr>
        <w:spacing w:before="40" w:after="40"/>
        <w:ind w:left="283"/>
      </w:pPr>
      <w:r>
        <w:rPr>
          <w:rFonts w:ascii="Calibri" w:hAnsi="Calibri"/>
          <w:b/>
          <w:color w:val="4A6B25"/>
          <w:sz w:val="20"/>
        </w:rPr>
        <w:t xml:space="preserve">3. </w:t>
      </w:r>
      <w:r>
        <w:rPr>
          <w:rFonts w:ascii="Calibri" w:hAnsi="Calibri"/>
          <w:b w:val="0"/>
          <w:color w:val="3A4A28"/>
          <w:sz w:val="20"/>
        </w:rPr>
        <w:t>ROE of 11.45% despite record revenue suggests structural capital inefficiency — the $1.253B cash position exceeds near-term deployment opportunities, and management has not articulated a capital allocation framework that optimizes returns versus hoarding cash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Silver mining is one of the most AI-immune business models possible — extracting physical precious metals from underground ore bodies requires geological expertise, heavy equipment, and labor that AI structurally cannot displace [4]. Moreover, silver is a critical component in AI infrastructure itself: its unmatched electrical conductivity makes it essential for semiconductor manufacturing, high-speed data transmission, and thermal interface materials for cooling power-hungry GPUs in AI data centers. Analysts describe First Majestic as a 'picks and shovels' play on the AI revolution — silver demand increases as AI infrastructure scales, making the company a net beneficiary of AI advancement rather than a disruption target. The structural supply deficit in silver, combined with insatiable AI and green energy demand, provides a robust long-term floor for the commodity on which the entire business depends. AI Opportunity (0/1): First Majestic generates no revenue from AI products or services. The company benefits indirectly from AI-driven silver demand but does not sell AI solutions or derive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Majestic Q1 2026 Financial Results — Record Revenue $476.7M (+95%), Earnings $128.1M, EPS $0.26, Increased Dividend — NewsfileCorp, May 2026</w:t>
      </w:r>
    </w:p>
    <w:p>
      <w:pPr>
        <w:spacing w:before="20" w:after="20"/>
        <w:ind w:left="170"/>
      </w:pPr>
      <w:r>
        <w:rPr>
          <w:rFonts w:ascii="Calibri" w:hAnsi="Calibri"/>
          <w:b/>
          <w:color w:val="4A6B25"/>
          <w:sz w:val="15"/>
        </w:rPr>
        <w:t xml:space="preserve">2. </w:t>
      </w:r>
      <w:r>
        <w:rPr>
          <w:rFonts w:ascii="Calibri" w:hAnsi="Calibri"/>
          <w:b w:val="0"/>
          <w:color w:val="3A4A28"/>
          <w:sz w:val="17"/>
        </w:rPr>
        <w:t>First Majestic Q2 2026 Earnings Highlights — Revenue $415.5M (+57%), Silver 3.8M oz, Record Treasury $1.253B, FCF $194.6M — GuruFocus, StreetWise Reports, August 2026</w:t>
      </w:r>
    </w:p>
    <w:p>
      <w:pPr>
        <w:spacing w:before="20" w:after="20"/>
        <w:ind w:left="170"/>
      </w:pPr>
      <w:r>
        <w:rPr>
          <w:rFonts w:ascii="Calibri" w:hAnsi="Calibri"/>
          <w:b/>
          <w:color w:val="4A6B25"/>
          <w:sz w:val="15"/>
        </w:rPr>
        <w:t xml:space="preserve">3. </w:t>
      </w:r>
      <w:r>
        <w:rPr>
          <w:rFonts w:ascii="Calibri" w:hAnsi="Calibri"/>
          <w:b w:val="0"/>
          <w:color w:val="3A4A28"/>
          <w:sz w:val="17"/>
        </w:rPr>
        <w:t>First Majestic ESG Sustainability Report — Water Recycling, Land Reclamation, Union Agreement, Community Programs — firstmajestic.com, 2021-2026</w:t>
      </w:r>
    </w:p>
    <w:p>
      <w:pPr>
        <w:spacing w:before="20" w:after="20"/>
        <w:ind w:left="170"/>
      </w:pPr>
      <w:r>
        <w:rPr>
          <w:rFonts w:ascii="Calibri" w:hAnsi="Calibri"/>
          <w:b/>
          <w:color w:val="4A6B25"/>
          <w:sz w:val="15"/>
        </w:rPr>
        <w:t xml:space="preserve">4. </w:t>
      </w:r>
      <w:r>
        <w:rPr>
          <w:rFonts w:ascii="Calibri" w:hAnsi="Calibri"/>
          <w:b w:val="0"/>
          <w:color w:val="3A4A28"/>
          <w:sz w:val="17"/>
        </w:rPr>
        <w:t>First Majestic Corporate Leadership, Glassdoor Reviews (4.0/5), and Silver Market Positioning — firstmajestic.com, Glassdoor, Motley Fool,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AG Key Statistics: Forward P/E 13.6x, D/E 9.0%, ROE 11.45%, Profit Margin 19.52%,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