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AHRT</w:t>
      </w:r>
      <w:r>
        <w:rPr>
          <w:rFonts w:ascii="Calibri" w:hAnsi="Calibri"/>
          <w:b/>
          <w:color w:val="1A2010"/>
          <w:sz w:val="40"/>
        </w:rPr>
        <w:t xml:space="preserve">  AH Realty Trust, Inc.</w:t>
      </w:r>
    </w:p>
    <w:p>
      <w:pPr>
        <w:spacing w:after="120"/>
      </w:pPr>
      <w:r>
        <w:rPr>
          <w:rFonts w:ascii="Calibri" w:hAnsi="Calibri"/>
          <w:b/>
          <w:color w:val="6E8450"/>
          <w:sz w:val="18"/>
        </w:rPr>
        <w:t>DIVIDEND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AH Realty Trust, Inc. (formerly Armada Hoffler Properties) is a vertically integrated, self-managed real estate investment trust (REIT) focused on the ownership and operation of high-quality retail and office assets in the Mid-Atlantic and Southeastern United States. The company is undergoing a strategic transformation, exiting multifamily properties (selling 11 properties for $562 million) and fee-based construction businesses to become a pure-play retail and mixed-use office REIT. Weighted leased occupancy of 95.4%. Founded in 1979, rebranded as AH Realty Trust in March 2026, headquartered in Virginia Beach, Virginia.</w:t>
      </w:r>
    </w:p>
    <w:p>
      <w:r>
        <w:rPr>
          <w:rFonts w:ascii="Calibri" w:hAnsi="Calibri"/>
          <w:b/>
          <w:color w:val="6E8450"/>
          <w:sz w:val="18"/>
        </w:rPr>
        <w:t>98 Employees · https://ahrealtytrust.com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AH Realty Trust's most significant recent action is the strategic transformation from a diversified REIT with construction capabilities to a focused retail/office REIT, including the $562 million sale of 11 multifamily properties [3]. While this is a significant strategic decision, it is defensive repositioning rather than innovative product launch or market expansion. The company is shrinking, not growing into new capabilities. AI Deployment (0/2): No evidence of AI deployment. A 98-employee REIT focused on property management has limited application for AI-driven products or services. Market Share (0/2): AH Realty Trust is a small REIT with a market cap of approximately $533-710 million, representing a negligible share of the US commercial real estate market [5]. No evidence of category leadership or meaningful share gains in any property segment. Product Pipeline (0/2): No new development pipeline was discussed in recent filings. The company is in asset disposal mode, not asset creation mode. The focus is on managing existing retail and office properties, not building new ones [1][3]. R&amp;D Intensity (0/1): REITs do not conduct R&amp;D. Innovation in this sector is measured through development activity, which AHRT is exiting.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AH Realty Trust's purpose is to 'deliver long-term, sustainable shareholder value by consistently investing in and operating the highest-quality assets, maintaining a robust and resilient balance sheet, and fostering a dynamic, highly skilled team' [1]. This is generic shareholder value language interchangeable with any REIT. It describes what the company does, not why it exists beyond making money. Community Impact (0/2): No evidence of charitable giving, community programs, or social investment was found. The company has 98 employees and limited public presence beyond its investor relations activities. Employee Retention (0/2): With only 98 full-time employees, employee retention data is limited [5]. The recent rebranding from Armada Hoffler to AH Realty Trust and strategic transformation may create organizational uncertainty. No specific retention or culture data is available. Insider Buying (0/2): No insider buying data was identified in research. Management's focus appears to be on executing the strategic transformation rather than increasing personal equity stakes.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distance-from-target methodology on available metrics. D/E of 233.59% is severely elevated relative to the 70% target (score 0.29), though management is targeting deleveraging to 5.5x-6.5x net debt/EBITDA through asset sales [2][5]. ROE of -0.33% is negative, scoring 0 -- reflecting the earnings impact of the strategic transformation and heavy depreciation charges typical of REITs [5]. Revenue Growth YoY of -5.1% (forecast normalized decline from exiting construction) scores 0.50 [5]. Revenue Growth 5yr CAGR estimated at 0% (flat, as construction exit offsets rental growth) scores 0.33. Profit margin of 2.0% is severely compressed (score 0.10) by transformation costs and REIT depreciation [5]. Forward P/E was excluded as unavailable. Dividend metrics are mixed: 13 consecutive years of payments scores well (1.0 at 2x weight), but payout ratio exceeds 100% relative to FFO (score 0), zero consecutive years of growth (dividend has been declining), and negative 5-year dividend growth CAGR of approximately -8% (score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AH Realty Trust operates with a predominantly finite orientation. The company's stated purpose is shareholder value creation, and its current strategic decisions -- selling multifamily properties, exiting construction, deleveraging the balance sheet -- are financially driven responses to market conditions rather than expressions of an enduring cause. While the strategic transformation shows some courage (exiting profitable businesses to refocus), it is motivated by financial engineering rather than purpose. The company's four decades of history under the Armada Hoffler name shows durability, but the recent wholesale rebranding and strategic pivot suggest discontinuity rather than infinite game continuity.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stated purpose is 'deliver long-term, sustainable shareholder value' -- an explicitly finite objective [1]. The strategic transformation (exiting multifamily, exiting construction, focusing on retail/office) is driven by financial optimization, not by an enduring vision of a better future. The complete rebranding from Armada Hoffler to AH Realty Trust in 2026 further suggests the company is defining itself by financial structure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98 employees, AH Realty Trust has a very small organizational footprint [5]. The recent rebranding, strategic transformation, and exit from multiple business lines (construction, multifamily) create organizational uncertainty that may undermine trust. No employee culture, retention, or satisfaction data is publicly available. The small team size makes the company heavily dependent on a few key individuals.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strategic communications focus on asset sales, deleveraging targets, and FFO guidance rather than competitive learning or improvement [1][2]. In a fragmented REIT market, AH Realty Trust does not appear to identify or learn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from a diversified REIT with construction capabilities to a pure-play retail/office REIT represents a meaningful business model change. Selling 11 multifamily properties for $562 million and exiting the construction business entirely are significant decisions that reshape the company [3]. However, this pivot appears driven by financial necessity (deleveraging from 233% D/E) and market conditions rather than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Shawn Tibbetts has made the difficult decision to exit the multifamily and construction businesses that generated meaningful revenue, choosing to accept near-term revenue decline in exchange for a cleaner, more focused portfolio and lower leverage [2][3]. Selling $562 million in assets and exiting the construction business represent meaningful short-term sacrifices for long-term positioning. This qualifies as at least one example of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AH Realty Trust is executing a meaningful strategic transformation under CEO Shawn Tibbetts, exiting multifamily ($562M in property sales) and construction businesses to focus on retail and mixed-use office assets in the Mid-Atlantic and Southeastern US [3]. Q1 2026 results showed improvement: FFO per share of $0.20 (up from $0.17 YoY), rental revenues of $52.3M (up 4.2%), and weighted leased occupancy of 95.4% [1]. Management raised 2026 FFO as adjusted guidance to $0.51-$0.55 per diluted share and targets deleveraging to 5.5x-6.5x net debt/EBITDA [2]. Stifel analyst Simon Yarmak maintains a Buy rating with an $8 price target, suggesting 16% upside from the current $6.895 [5]. The 8.12% dividend yield provides income while the transformation plays out.</w:t>
      </w:r>
    </w:p>
    <w:p>
      <w:pPr>
        <w:spacing w:after="120"/>
      </w:pPr>
      <w:r>
        <w:rPr>
          <w:rFonts w:ascii="Calibri" w:hAnsi="Calibri"/>
          <w:b w:val="0"/>
          <w:color w:val="3A4A28"/>
          <w:sz w:val="20"/>
        </w:rPr>
        <w:t>The bear case is substantial. D/E of 233.59% represents severe financial leverage that constrains the company's ability to invest in growth or weather downturns [5]. ROE is negative at -0.33%, meaning the company is currently destroying equity value. The dividend has been cut repeatedly, with a -8% 5-year dividend growth CAGR and a payout ratio exceeding 100% of FFO, raising questions about dividend sustainability [4]. Revenue is declining as the company exits businesses, and the forecast calls for continued 5.1% annual revenue decline. The office portfolio (~45% of NOI) faces secular headwinds from remote work acceleration. With only 98 employees and a market cap under $1 billion, AH Realty Trust lacks the scale, diversification, and financial resources to compete effectively with larger REITs. The high yield of 8.12% is a reflection of risk, not value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multifamily property dispositions and construction exit, enabling deleveraging to the target 5.5x-6.5x net debt/EBITDA range and stabilizing the balance sheet</w:t>
      </w:r>
    </w:p>
    <w:p>
      <w:pPr>
        <w:spacing w:before="40" w:after="40"/>
        <w:ind w:left="283"/>
      </w:pPr>
      <w:r>
        <w:rPr>
          <w:rFonts w:ascii="Calibri" w:hAnsi="Calibri"/>
          <w:b/>
          <w:color w:val="4A6B25"/>
          <w:sz w:val="20"/>
        </w:rPr>
        <w:t xml:space="preserve">2. </w:t>
      </w:r>
      <w:r>
        <w:rPr>
          <w:rFonts w:ascii="Calibri" w:hAnsi="Calibri"/>
          <w:b w:val="0"/>
          <w:color w:val="3A4A28"/>
          <w:sz w:val="20"/>
        </w:rPr>
        <w:t>Rental revenue same-store growth acceleration above 2.2% retail and 0.7% office as the focused portfolio benefits from concentrated management attention and capital allocation</w:t>
      </w:r>
    </w:p>
    <w:p>
      <w:pPr>
        <w:spacing w:before="40" w:after="40"/>
        <w:ind w:left="283"/>
      </w:pPr>
      <w:r>
        <w:rPr>
          <w:rFonts w:ascii="Calibri" w:hAnsi="Calibri"/>
          <w:b/>
          <w:color w:val="4A6B25"/>
          <w:sz w:val="20"/>
        </w:rPr>
        <w:t xml:space="preserve">3. </w:t>
      </w:r>
      <w:r>
        <w:rPr>
          <w:rFonts w:ascii="Calibri" w:hAnsi="Calibri"/>
          <w:b w:val="0"/>
          <w:color w:val="3A4A28"/>
          <w:sz w:val="20"/>
        </w:rPr>
        <w:t>Dividend stabilization and eventual resumption of growth once FFO coverage exceeds 100% and leverage reaches target levels, restoring investor confidence in the income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233.59% creates severe refinancing risk, particularly if interest rates remain elevated; the company must execute asset sales on acceptable terms to achieve the 5.5x-6.5x deleveraging target</w:t>
      </w:r>
    </w:p>
    <w:p>
      <w:pPr>
        <w:spacing w:before="40" w:after="40"/>
        <w:ind w:left="283"/>
      </w:pPr>
      <w:r>
        <w:rPr>
          <w:rFonts w:ascii="Calibri" w:hAnsi="Calibri"/>
          <w:b/>
          <w:color w:val="4A6B25"/>
          <w:sz w:val="20"/>
        </w:rPr>
        <w:t xml:space="preserve">2. </w:t>
      </w:r>
      <w:r>
        <w:rPr>
          <w:rFonts w:ascii="Calibri" w:hAnsi="Calibri"/>
          <w:b w:val="0"/>
          <w:color w:val="3A4A28"/>
          <w:sz w:val="20"/>
        </w:rPr>
        <w:t>Dividend payout ratio exceeds 100% of FFO as adjusted ($0.56 annual dividend vs. $0.53 FFO midpoint), creating risk of further dividend cuts that would compress the already-stressed stock price</w:t>
      </w:r>
    </w:p>
    <w:p>
      <w:pPr>
        <w:spacing w:before="40" w:after="40"/>
        <w:ind w:left="283"/>
      </w:pPr>
      <w:r>
        <w:rPr>
          <w:rFonts w:ascii="Calibri" w:hAnsi="Calibri"/>
          <w:b/>
          <w:color w:val="4A6B25"/>
          <w:sz w:val="20"/>
        </w:rPr>
        <w:t xml:space="preserve">3. </w:t>
      </w:r>
      <w:r>
        <w:rPr>
          <w:rFonts w:ascii="Calibri" w:hAnsi="Calibri"/>
          <w:b w:val="0"/>
          <w:color w:val="3A4A28"/>
          <w:sz w:val="20"/>
        </w:rPr>
        <w:t>Office portfolio representing approximately 45% of NOI faces secular headwinds from AI-accelerated remote work, with office same-store NOI growth of only 0.7% signaling potential demand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AH Realty Trust owns and operates physical real estate assets -- retail stores, office buildings, and mixed-use properties -- that AI structurally cannot replace [1]. Tenants need physical space for retail operations and office work. The company's Mid-Atlantic and Southeastern US portfolio is in regions with relatively stable demand fundamentals. However, the office segment (approximately 45% of NOI) faces secular headwinds from AI-accelerated remote work trends: AI tools make remote collaboration more effective, potentially reducing long-term office space demand. The retail segment is more defensible, benefiting from experiential and necessity-based tenants. The blended risk profile is PROTECTED rather than IMMUNE due to the significant office exposure [1][2]. AI Opportunity (0/1): No AI revenue. A 98-employee REIT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AH Realty Trust Q1 2026 Earnings Release -- GlobeNewswire, May 4, 2026</w:t>
      </w:r>
    </w:p>
    <w:p>
      <w:pPr>
        <w:spacing w:before="20" w:after="20"/>
        <w:ind w:left="170"/>
      </w:pPr>
      <w:r>
        <w:rPr>
          <w:rFonts w:ascii="Calibri" w:hAnsi="Calibri"/>
          <w:b/>
          <w:color w:val="4A6B25"/>
          <w:sz w:val="15"/>
        </w:rPr>
        <w:t xml:space="preserve">2. </w:t>
      </w:r>
      <w:r>
        <w:rPr>
          <w:rFonts w:ascii="Calibri" w:hAnsi="Calibri"/>
          <w:b w:val="0"/>
          <w:color w:val="3A4A28"/>
          <w:sz w:val="17"/>
        </w:rPr>
        <w:t>AH Realty Trust Raises 2026 FFO Guidance to $0.51-$0.55 --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AH Realty Trust 11 Multifamily Property Sale ($562M) Press Release -- stocktitan.net, 2026</w:t>
      </w:r>
    </w:p>
    <w:p>
      <w:pPr>
        <w:spacing w:before="20" w:after="20"/>
        <w:ind w:left="170"/>
      </w:pPr>
      <w:r>
        <w:rPr>
          <w:rFonts w:ascii="Calibri" w:hAnsi="Calibri"/>
          <w:b/>
          <w:color w:val="4A6B25"/>
          <w:sz w:val="15"/>
        </w:rPr>
        <w:t xml:space="preserve">4. </w:t>
      </w:r>
      <w:r>
        <w:rPr>
          <w:rFonts w:ascii="Calibri" w:hAnsi="Calibri"/>
          <w:b w:val="0"/>
          <w:color w:val="3A4A28"/>
          <w:sz w:val="17"/>
        </w:rPr>
        <w:t>AH Realty Trust Historical Dividend Data -- StockAnalysis.com,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Finviz -- AHRT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