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AII</w:t>
      </w:r>
      <w:r>
        <w:rPr>
          <w:rFonts w:ascii="Calibri" w:hAnsi="Calibri"/>
          <w:b/>
          <w:color w:val="1A2010"/>
          <w:sz w:val="40"/>
        </w:rPr>
        <w:t xml:space="preserve">  American Integrity Insurance Group, Inc.</w:t>
      </w:r>
    </w:p>
    <w:p>
      <w:pPr>
        <w:spacing w:after="120"/>
      </w:pPr>
      <w:r>
        <w:rPr>
          <w:rFonts w:ascii="Calibri" w:hAnsi="Calibri"/>
          <w:b/>
          <w:color w:val="6E8450"/>
          <w:sz w:val="18"/>
        </w:rPr>
        <w:t>GROWTH SLEEVE · 2026-08-18 · Inspire: 25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Insurance - Property &amp; Casualty · NYSE · United States</w:t>
      </w:r>
    </w:p>
    <w:p>
      <w:pPr>
        <w:spacing w:after="80"/>
      </w:pPr>
      <w:r>
        <w:rPr>
          <w:rFonts w:ascii="Calibri" w:hAnsi="Calibri"/>
          <w:b w:val="0"/>
          <w:color w:val="3A4A28"/>
          <w:sz w:val="20"/>
        </w:rPr>
        <w:t>American Integrity Insurance Group, Inc. operates as a property and casualty insurance company primarily in Florida. The company offers personal residential property insurance for single-family homeowners, condominium owners, manufactured homes, vacant dwellings, and investment properties. It also provides commercial residential, dwelling property, and specialty insurance products with optional endorsements for enhanced coverage. In-force premium crossed $1 billion for the first time in Q2 2026.</w:t>
      </w:r>
    </w:p>
    <w:p>
      <w:r>
        <w:rPr>
          <w:rFonts w:ascii="Calibri" w:hAnsi="Calibri"/>
          <w:b/>
          <w:color w:val="6E8450"/>
          <w:sz w:val="18"/>
        </w:rPr>
        <w:t>400 Employees · https://www.aii.com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American Integrity completed its IPO in 2024 and delivered record voluntary new business growth of 54% YoY in Q2 2026, with in-force premium crossing $1 billion for the first time in company history [1]. Total revenues surged 54.6% to $115.2 million in Q2 2026, and the company expanded from a Florida homeowners-only insurer into commercial residential, manufactured home, and specialty lines [1]. AI Deployment (0/2): The company employs a VP of Innovations &amp; Data leading business intelligence and data analytics, but no specific AI-powered products or quantified AI savings have been disclosed [2]. Market Share (1/2): American Integrity crossed $1 billion in-force premium and achieved record 54% voluntary new business growth, establishing itself as one of the fastest-growing Florida property insurers as competitors like FedNat, Weston, and UPC went insolvent [1]. However, the Florida property insurance market remains highly fragmented. Pipeline (1/2): Full-year 2026 revenue consensus of $397 million represents 18% growth, and the company's record new business pipeline provides forward visibility, though no specific new product launches have been named [1]. R&amp;D Intensity (0/1): Insurance companies do not conduct traditional R&amp;D; technology investment is at levels typical for a mid-size insurer.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American Integrity's core values — integrity, commitment, teamwork, humility, passion and fun — are embedded in a servant leadership philosophy where leaders focus on serving others rather than dictating instructions [2]. The company name itself signals intentionality about ethical conduct. The purpose is genuine but does not articulate a transformative vision beyond being an excellent insurance company. Community Impact (1/2): The company has been recognized as a USA Today Top Workplaces USA for four consecutive years, Tampa Bay Times Top Workplace for 10 years, and Best Places to Work in Insurance for 11 consecutive years through 2024 [2]. Employee Retention (2/2): Exceptional workplace recognition — 11 consecutive years as Best Places to Work in Insurance, 10 consecutive years as Tampa Bay Times Top Workplace (top-3 among mid-size companies), and inaugural America's Best Workplaces honoree [2]. The servant leadership culture and weekly Friday leadership team meetings where 'there is no room for ego' demonstrate sustained organizational health. Insider Buying (1/2): Significant insider buying in May-June 2026 — 10% beneficial owner James Sowell purchased 136,356 shares ($2.3M), Chairman David Clark bought 5,830 shares ($100K), and Directors Mathis ($50K) and Smathers ($49K) purchased shares, with no insider sales recorded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American Integrity's financials are exceptionally strong across every measured dimension. D/E of 0.15% reflects virtually zero leverage against $222M in cash and only $1.1M in debt [4]. ROE reached 40% adjusted in Q2 2026, up from 31.2% TTM, demonstrating outstanding capital efficiency [1]. Revenue growth of 54.6% YoY in Q2 2026 far exceeds the 10% target, driven by in-force premium crossing $1 billion for the first time [1]. Five-year revenue CAGR of approximately 29% also exceeds targets. Forward P/E of 5.6x is extraordinarily low for a rapidly growing insurer. Profit margin of 27.6% exceeds the 20% target. All available metrics score at ceiling (1.0), producing a perfect Infrastructure score. Liquidity floor cleared: ~120,000 avg daily volume x ~$20 = $2.4M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American Integrity demonstrates genuine infinite-game qualities through its servant leadership philosophy, exceptional 10+ year workplace recognition streak, and consistent cultural values under founder-CEO Bob Ritchie's 20-year tenure. The company's focus on integrity and employee empowerment aligns with Sinek's principles. However, concentration in Florida property insurance limits strategic flexibility, and the company's competitive language emphasizes execution over learning from rivals.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American Integrity's servant leadership philosophy and deeply embedded core values represent a genuine purpose beyond profit [2]. CEO Bob Ritchie has maintained these values consistently since founding the company in 2006, and 11 consecutive years of workplace awards validate that the culture is lived, not merely stated. The Friday leadership meetings where 'there is no room for ego' suggest purpose-driven organizational behavior. However, the cause — being an ethical, people-first insurer — is about how they operate rather than a transformative vision of a better future.</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Exceptional evidence of a high-trust organization. Eleven consecutive years as Best Places to Work in Insurance, 10 consecutive years as Tampa Bay Times Top Workplace, USA Today Top Workplaces for four straight years, and inaugural America's Best Workplaces recognition [2]. The servant leadership model, weekly collaborative problem-solving meetings, and a 400-person organization with 20 years of founder leadership continuity create strong psychological safety. Multiple independent workplace awards across different evaluation methodologies consistently validate the culture.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management referencing competitors' strengths as motivation for improvement. American Integrity competes in Florida's fragmented property insurance market against Citizens, Heritage, and HCI Group, but management commentary focuses on rate adequacy, loss ratios, and market opportunities rather than competitive learning [1]. The company's positioning emphasizes its own cultural strengths over acknowledging what rivals do better.</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American Integrity has expanded from its original homeowners-only focus into commercial residential, manufactured home, dwelling property, and specialty insurance products over the past several years [1]. This represents incremental product line diversification rather than transformative reinvention. The company remains concentrated exclusively in Florida, and the core business model — underwriting property risk in a single catastrophe-exposed state — has not changed. A geographic expansion or fundamental model shift would demonstrate higher-order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American Integrity demonstrated courage by continuing to write Florida homeowners insurance aggressively during 2022-2023 when multiple Florida carriers went insolvent, maintaining rate discipline and underwriting standards rather than retreating from the market [1]. The company grew premiums 48.5% YoY while competitors fled, and achieved record 54% voluntary new business growth in Q2 2026. The IPO decision in 2024 and leadership succession planning (Jon Ritchie as President) reflect long-term thinking, though these represent rational business decisions in a favorable market environment.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American Integrity is delivering exceptional execution in Florida's hardening property insurance market, with Q2 2026 adjusted EPS of $1.78 crushing the $0.90 consensus estimate and in-force premium crossing $1 billion for the first time [1]. Revenue surged 54.6% YoY to $115.2 million with adjusted ROE of 40%, while the balance sheet carries virtually zero debt ($1.1M against $222M cash) [4]. The company has thrived as competitors went insolvent, achieving record 54% voluntary new business growth by maintaining underwriting discipline and rate adequacy. Significant insider buying — $2.5M+ in purchases by a 10% owner and multiple directors in May-June 2026 — signals leadership conviction at current valuations [3]. The servant leadership culture, validated by 11 consecutive years of workplace awards, creates a durable organizational advantage in employee retention and claims service quality [2].</w:t>
      </w:r>
    </w:p>
    <w:p>
      <w:pPr>
        <w:spacing w:after="120"/>
      </w:pPr>
      <w:r>
        <w:rPr>
          <w:rFonts w:ascii="Calibri" w:hAnsi="Calibri"/>
          <w:b w:val="0"/>
          <w:color w:val="3A4A28"/>
          <w:sz w:val="20"/>
        </w:rPr>
        <w:t>The bear case centers on catastrophe concentration and the immutability of Florida hurricane risk. American Integrity writes exclusively in Florida, meaning a single Category 4+ storm hitting Tampa Bay could generate losses exceeding the company's equity base [1]. The $400M+ market cap provides limited capacity to absorb catastrophic events that larger diversified insurers can withstand. Earnings lumpiness is inherent in property insurance — a single storm can erase multiple years of profit. Florida's politically volatile insurance regulatory environment could change litigation rules, building codes, or reinsurance requirements unpredictably. The loss ratio deteriorated from 30.9% to 37.3% in Q1 2026, suggesting potential adverse development trends [1]. Geographic concentration means the company cannot diversify away from Florida hurricane risk, and climate change may increase storm frequency and severity over the long term.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In-force premium crossed $1 billion for the first time with 54% voluntary new business growth, providing revenue momentum into H2 2026 and beyond [1]</w:t>
      </w:r>
    </w:p>
    <w:p>
      <w:pPr>
        <w:spacing w:before="40" w:after="40"/>
        <w:ind w:left="283"/>
      </w:pPr>
      <w:r>
        <w:rPr>
          <w:rFonts w:ascii="Calibri" w:hAnsi="Calibri"/>
          <w:b/>
          <w:color w:val="4A6B25"/>
          <w:sz w:val="20"/>
        </w:rPr>
        <w:t xml:space="preserve">2. </w:t>
      </w:r>
      <w:r>
        <w:rPr>
          <w:rFonts w:ascii="Calibri" w:hAnsi="Calibri"/>
          <w:b w:val="0"/>
          <w:color w:val="3A4A28"/>
          <w:sz w:val="20"/>
        </w:rPr>
        <w:t>Q2 2026 adjusted EPS of $1.78 nearly doubled the $0.90 consensus, triggering analyst estimate revisions upward with full-year consensus now tracking toward $397M in revenue [1]</w:t>
      </w:r>
    </w:p>
    <w:p>
      <w:pPr>
        <w:spacing w:before="40" w:after="40"/>
        <w:ind w:left="283"/>
      </w:pPr>
      <w:r>
        <w:rPr>
          <w:rFonts w:ascii="Calibri" w:hAnsi="Calibri"/>
          <w:b/>
          <w:color w:val="4A6B25"/>
          <w:sz w:val="20"/>
        </w:rPr>
        <w:t xml:space="preserve">3. </w:t>
      </w:r>
      <w:r>
        <w:rPr>
          <w:rFonts w:ascii="Calibri" w:hAnsi="Calibri"/>
          <w:b w:val="0"/>
          <w:color w:val="3A4A28"/>
          <w:sz w:val="20"/>
        </w:rPr>
        <w:t>Significant insider buying totaling $2.5M+ in May-June 2026 by 10% beneficial owner and multiple board members signals institutional conviction in the stock's undervaluation at 3.3x trailing earnings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Single-state concentration in Florida creates existential hurricane risk — a direct Category 4+ hit on Tampa Bay or Miami metro could generate losses exceeding company equity and threaten solvency [1]</w:t>
      </w:r>
    </w:p>
    <w:p>
      <w:pPr>
        <w:spacing w:before="40" w:after="40"/>
        <w:ind w:left="283"/>
      </w:pPr>
      <w:r>
        <w:rPr>
          <w:rFonts w:ascii="Calibri" w:hAnsi="Calibri"/>
          <w:b/>
          <w:color w:val="4A6B25"/>
          <w:sz w:val="20"/>
        </w:rPr>
        <w:t xml:space="preserve">2. </w:t>
      </w:r>
      <w:r>
        <w:rPr>
          <w:rFonts w:ascii="Calibri" w:hAnsi="Calibri"/>
          <w:b w:val="0"/>
          <w:color w:val="3A4A28"/>
          <w:sz w:val="20"/>
        </w:rPr>
        <w:t>Loss ratio deterioration from 30.9% to 37.3% in Q1 2026 may signal adverse claims development or inadequate reserves, with climate change potentially worsening loss experience over time [1]</w:t>
      </w:r>
    </w:p>
    <w:p>
      <w:pPr>
        <w:spacing w:before="40" w:after="40"/>
        <w:ind w:left="283"/>
      </w:pPr>
      <w:r>
        <w:rPr>
          <w:rFonts w:ascii="Calibri" w:hAnsi="Calibri"/>
          <w:b/>
          <w:color w:val="4A6B25"/>
          <w:sz w:val="20"/>
        </w:rPr>
        <w:t xml:space="preserve">3. </w:t>
      </w:r>
      <w:r>
        <w:rPr>
          <w:rFonts w:ascii="Calibri" w:hAnsi="Calibri"/>
          <w:b w:val="0"/>
          <w:color w:val="3A4A28"/>
          <w:sz w:val="20"/>
        </w:rPr>
        <w:t>Florida's politically volatile insurance regulatory environment could alter litigation rules, rate-setting authority, or reinsurance requirements, disrupting the competitive dynamics favoring rate-adequate carriers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Property and casualty insurance in Florida is protected by significant regulatory barriers — state-level licensing, rate filing requirements, statutory capital requirements, and Department of Financial Services oversight create moats that AI-native entrants cannot easily breach [1]. Physical property inspection, claims adjustment after hurricanes, and local agent relationships add layers of defensibility. However, AI is transforming underwriting, claims processing, and fraud detection across the insurance industry, and AI-native insurtech companies (Lemonade, Root, Hippo) demonstrate that technology can compress operating costs and improve risk selection. American Integrity's core underwriting function faces partial automation risk, and competitors using AI for superior risk pricing could gain advantages over time. AI Opportunity (1/1): The company employs a VP of Innovations &amp; Data leading business intelligence and data analytics operations [2]. Application of predictive analytics to underwriting, claims triage, and catastrophe modeling represents nascent AI-driven value creation within the business.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25</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Environmental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American Integrity Insurance Group Q2 2026 Earnings Release and Investor Presentation — Record pretax income, 54.6% revenue growth, 40% adjusted ROE, $1.78 adjusted EPS vs $0.90 consensus, in-force premium crossed $1B, SEC 8-K filing August 2026</w:t>
      </w:r>
    </w:p>
    <w:p>
      <w:pPr>
        <w:spacing w:before="20" w:after="20"/>
        <w:ind w:left="170"/>
      </w:pPr>
      <w:r>
        <w:rPr>
          <w:rFonts w:ascii="Calibri" w:hAnsi="Calibri"/>
          <w:b/>
          <w:color w:val="4A6B25"/>
          <w:sz w:val="15"/>
        </w:rPr>
        <w:t xml:space="preserve">2. </w:t>
      </w:r>
      <w:r>
        <w:rPr>
          <w:rFonts w:ascii="Calibri" w:hAnsi="Calibri"/>
          <w:b w:val="0"/>
          <w:color w:val="3A4A28"/>
          <w:sz w:val="17"/>
        </w:rPr>
        <w:t>American Integrity Insurance Company Website and Company Profile — Leadership team, servant leadership culture, core values, workplace awards (11 consecutive years Best Places to Work in Insurance), VP Innovations &amp; Data,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SEC Form 4 Insider Transaction Filings — Sowell $2.3M purchase (136,356 shares), Clark $100K, Mathis $50K, Smathers $49K insider buying, May-June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 financial data for AII — PE 3.30, Forward PE 5.57, D/E 0.15%, ROE 31.23% TTM, profit margin 27.56%, revenue TTM $276.5M,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