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AMD</w:t>
      </w:r>
      <w:r>
        <w:rPr>
          <w:rFonts w:ascii="Calibri" w:hAnsi="Calibri"/>
          <w:b/>
          <w:color w:val="1A2010"/>
          <w:sz w:val="40"/>
        </w:rPr>
        <w:t xml:space="preserve">  Advanced Micro Devices, Inc.</w:t>
      </w:r>
    </w:p>
    <w:p>
      <w:pPr>
        <w:spacing w:after="120"/>
      </w:pPr>
      <w:r>
        <w:rPr>
          <w:rFonts w:ascii="Calibri" w:hAnsi="Calibri"/>
          <w:b/>
          <w:color w:val="6E8450"/>
          <w:sz w:val="18"/>
        </w:rPr>
        <w:t>GROWTH SLEEVE · 2026-08-27 · Inspire: -67 · INFINITE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8F5E9" w:val="clear"/>
          </w:tcPr>
          <w:p>
            <w:pPr>
              <w:spacing w:before="40" w:after="40"/>
              <w:jc w:val="center"/>
            </w:pPr>
            <w:r>
              <w:rPr>
                <w:rFonts w:ascii="Calibri" w:hAnsi="Calibri"/>
                <w:b/>
                <w:color w:val="16A34A"/>
                <w:sz w:val="20"/>
              </w:rPr>
              <w:t>BUY</w:t>
            </w:r>
          </w:p>
        </w:tc>
      </w:tr>
    </w:tbl>
    <w:p>
      <w:pPr>
        <w:spacing w:before="120" w:after="200"/>
      </w:pPr>
      <w:r>
        <w:rPr>
          <w:rFonts w:ascii="Calibri" w:hAnsi="Calibri"/>
          <w:b/>
          <w:color w:val="1A2010"/>
          <w:sz w:val="80"/>
        </w:rPr>
        <w:t>83</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Semiconductors · NASDAQ · United States</w:t>
      </w:r>
    </w:p>
    <w:p>
      <w:pPr>
        <w:spacing w:after="80"/>
      </w:pPr>
      <w:r>
        <w:rPr>
          <w:rFonts w:ascii="Calibri" w:hAnsi="Calibri"/>
          <w:b w:val="0"/>
          <w:color w:val="3A4A28"/>
          <w:sz w:val="20"/>
        </w:rPr>
        <w:t>Advanced Micro Devices designs high-performance computing and visualization products including CPUs (EPYC server, Ryzen client), GPUs (Instinct AI accelerators, Radeon), FPGAs, and adaptive SoCs. Under CEO Lisa Su since 2014, AMD has transformed from a struggling chipmaker to a $785B semiconductor leader and the second-largest AI GPU supplier behind NVIDIA. Q2 2026 revenue reached a record $11.5B (+50% YoY), with Data Center revenue of $6.7B (+107% YoY) driven by EPYC 5th-gen processors and Instinct MI350 Series GPUs. Data Center now represents 58% of total revenue.</w:t>
      </w:r>
    </w:p>
    <w:p>
      <w:r>
        <w:rPr>
          <w:rFonts w:ascii="Calibri" w:hAnsi="Calibri"/>
          <w:b/>
          <w:color w:val="6E8450"/>
          <w:sz w:val="18"/>
        </w:rPr>
        <w:t>31,000 Employees · https://www.amd.com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(3/3): Lisa Su's AMD represents one of the greatest corporate transformations in technology history. From a company with &lt;$2B market cap and facing potential bankruptcy in 2014, AMD has delivered multiple transformative product launches: the Zen architecture (2017) that broke Intel's 15-year server CPU monopoly, chiplet-based design leadership, EPYC server processors gaining significant data center share from near-zero, and Instinct AI GPUs now competing as the #2 AI accelerator vendor [1][3]. Each launch opened entirely new revenue streams — Data Center grew from a negligible segment to $6.7B quarterly. AI Deployment (2/2): AMD Instinct MI350 GPUs are shipping at massive scale, directly powering AI training and inference workloads at hyperscale data centers. Q2 2026 Data Center revenue of $6.7B (+107% YoY) represents quantifiable AI-driven revenue, with AMD citing specific deployments at Amazon, Google, Microsoft, and Oracle [1]. Market Share (2/2): AMD has captured meaningful server CPU share from Intel with EPYC, growing from ~1% to an estimated 25%+ of x86 server market. In AI GPUs, AMD is the clear #2 behind NVIDIA with MI350 accelerating adoption [1][2]. Product Pipeline (2/2): AMD's product roadmap is specific and well-disclosed: MI350 Series GPUs shipping now, next-generation architectures on the roadmap, server revenue expected to grow 80%+ in H2 2026, and Data Center sales projected to double in 2027 per CEO Lisa Su [1]. R&amp;D Intensity (1/1): AMD invests heavily in semiconductor R&amp;D across CPU, GPU, FPGA, and custom silicon — R&amp;D spending is above industry average as a percentage of revenue, essential for maintaining competitive architectures against NVIDIA and Intel.</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AMD's purpose — 'Together we advance_' — reflects genuine intentionality under Lisa Su's leadership, connecting the company's work to advancing high-performance computing technology for the world's most important challenges [3]. The mission differentiates from peers and has been validated by 12 years of consistent strategic decisions under Su: every major bet (Zen architecture, chiplet design, data center pivot, AI GPUs) traces back to this vision of advancing computing. Su's tenure has proven the purpose through execution, though it lacks the transformative decades-long validation of NVDA's 'accelerate computing' (17 years of CUDA before the AI boom). Community Impact (0/2): No evidence of distinctive community investment, charitable programs, or foundation activity beyond standard corporate social responsibility was identified in research. Employee Retention (1/2): AMD under Lisa Su is widely regarded as a premier semiconductor employer, with the company's transformation from near-bankruptcy to $785B market cap generating strong employee pride and competitive talent attraction [3]. However, specific retention metrics (average tenure, voluntary turnover rates) are not publicly disclosed. Insider Buying (0/2): Lisa Su is a consistent net seller of vested equity awards, which is standard CEO compensation management. No evidence of meaningful discretionary insider buying by executives was identified.</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as a Growth stock on available metrics. AMD's financial profile is dominated by exceptional growth metrics: revenue growth of ~40% YoY on a TTM basis ($41.31B), five-year revenue CAGR of 29%, and a Forward PEG of 0.66 — all scoring at the maximum 1.0 [1][4]. D/E of 6% reflects a near-debt-free balance sheet with $8.84B net cash, scoring at maximum [4]. Profit margin of 15.58% scores 0.78 against the 20% target, improving rapidly as Data Center mix shift drives gross margin expansion (Q2 gross margin 54%) [1]. The two drags are Forward P/E of 43.30x (well above 20x target, scoring 0.42) and ROE of 10.20% (below 15% target, scoring 0.68) — the latter depressed by the large Xilinx acquisition goodwill on the balance sheet [4]. Daily dollar volume exceeds $11.5B, providing massive liquidity.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16A34A"/>
          <w:sz w:val="22"/>
        </w:rPr>
        <w:t>INFINITE</w:t>
      </w:r>
      <w:r>
        <w:rPr>
          <w:rFonts w:ascii="Calibri" w:hAnsi="Calibri"/>
          <w:b w:val="0"/>
          <w:color w:val="6E8450"/>
          <w:sz w:val="22"/>
        </w:rPr>
        <w:t xml:space="preserve">      Overall: </w:t>
      </w:r>
      <w:r>
        <w:rPr>
          <w:rFonts w:ascii="Calibri" w:hAnsi="Calibri"/>
          <w:b/>
          <w:color w:val="16A34A"/>
          <w:sz w:val="28"/>
        </w:rPr>
        <w:t>8</w:t>
      </w:r>
      <w:r>
        <w:rPr>
          <w:rFonts w:ascii="Calibri" w:hAnsi="Calibri"/>
          <w:b w:val="0"/>
          <w:color w:val="9DAF88"/>
          <w:sz w:val="18"/>
        </w:rPr>
        <w:t xml:space="preserve"> /10</w:t>
      </w:r>
    </w:p>
    <w:p>
      <w:pPr>
        <w:spacing w:after="120"/>
      </w:pPr>
      <w:r>
        <w:rPr>
          <w:rFonts w:ascii="Calibri" w:hAnsi="Calibri"/>
          <w:b w:val="0"/>
          <w:color w:val="3A4A28"/>
          <w:sz w:val="18"/>
        </w:rPr>
        <w:t>AMD under Lisa Su is a compelling infinite game player — a company that has fundamentally reinvented itself multiple times in service of advancing computing, survived near-death through disciplined execution, and built a culture of competitive excellence that uses rivals as motivation for self-improvement rather than destruction. Su's 12-year tenure demonstrates the pattern of consistent, purpose-driven leadership that Sinek identifies as the hallmark of infinite game players. The primary limitation is that AMD's purpose is centered on competitive technological excellence rather than a transcendent vision of a better future.</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AMD's purpose — 'Together we advance_' high-performance computing — is genuine and has been validated by Lisa Su's 12-year transformation of the company from near-bankruptcy to $785B market cap [3]. Strategic decisions consistently trace back to this vision: the $35B Xilinx acquisition expanded computing capabilities, EPYC server development when AMD had &lt;1% server share was a decade-long bet on advancing data center computing, and the MI350 AI GPU platform extends the mission into the AI era. The cause survived the most challenging test — Su holding firm on the Zen architecture investment when AMD's survival was uncertain in 2015-2016. However, it doesn't reach the canonical level of Sinek's gold standard because the purpose is more about competitive technological advancement than a transformative vision of a future state.</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Lisa Su has built a culture emphasizing clarity, focus, speed, and data-driven decision-making that has attracted and retained top semiconductor engineering talent through a remarkable corporate turnaround [3]. The transformation from near-bankruptcy to $785B market cap required sustained organizational commitment, suggesting meaningful employee buy-in. AMD competes successfully for talent against NVIDIA, Intel, and Qualcomm. However, specific employee retention metrics are not publicly disclosed, and 31,000 employees across global operations include acquired teams (Xilinx, Pensando) where cultural integration may still be ongoing.</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AMD exemplifies Sinek's worthy rival concept. Lisa Su consistently acknowledges NVIDIA's strengths as motivation for AMD's improvement rather than framing competition as a war to win. Su has explicitly stated AMD's strategy is about building the best products and open ecosystem rather than beating specific competitors [3]. AMD's approach to NVIDIA — competing on architectural merit and open-source software (ROCm vs CUDA) while acknowledging NVIDIA's ecosystem advantage — reflects competitive self-awareness oriented toward self-improvement. The same dynamic exists with Intel, where AMD has used Intel's dominance as motivation for innovation rather than predatory tactics.</w:t>
      </w:r>
    </w:p>
    <w:p>
      <w:pPr>
        <w:spacing w:before="200" w:after="40"/>
      </w:pPr>
      <w:r>
        <w:rPr>
          <w:rFonts w:ascii="Calibri" w:hAnsi="Calibri"/>
          <w:b/>
          <w:color w:val="1A2010"/>
          <w:sz w:val="22"/>
        </w:rPr>
        <w:t>Existential Flexibility</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(2/2): AMD has fundamentally reinvented itself multiple times under Lisa Su. The most transformative pivot was from a struggling consumer PC chipmaker losing market share to Intel into a data center and AI computing powerhouse — a reinvention that required abandoning the low-margin consumer focus, investing billions in server-class architectures (EPYC) when AMD had &lt;1% server market share, and betting on AI GPUs (Instinct) as a new computing paradigm [1][3]. The Xilinx acquisition ($35B) further redefined AMD as a full-stack computing company spanning CPUs, GPUs, FPGAs, and adaptive SoCs. Each pivot was driven by the purpose of advancing computing, not by desperation.</w:t>
      </w:r>
    </w:p>
    <w:p>
      <w:pPr>
        <w:spacing w:before="200" w:after="40"/>
      </w:pPr>
      <w:r>
        <w:rPr>
          <w:rFonts w:ascii="Calibri" w:hAnsi="Calibri"/>
          <w:b/>
          <w:color w:val="1A2010"/>
          <w:sz w:val="22"/>
        </w:rPr>
        <w:t>Courage To Lead</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(2/2): Lisa Su demonstrates a pattern of costly long-term bets. She invested heavily in Zen CPU architecture when AMD was nearly bankrupt, choosing multi-year R&amp;D spending over short-term survival optimizations [3]. The decision to develop EPYC server processors when AMD had &lt;1% server share required years of investment with no revenue — a bet that has now yielded $6.7B in quarterly Data Center revenue [1]. The $35B Xilinx acquisition was a transformative capital allocation decision that put AMD's balance sheet at risk to expand long-term computing capabilities. The MI350 AI GPU program required massive R&amp;D investment to compete with NVIDIA's entrenched CUDA ecosystem. Su consistently chooses long-term capability over short-term earnings.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AMD at 43.30x forward earnings is the premier AI infrastructure investment outside of NVIDIA, delivering accelerating revenue growth with a best-in-class growth-to-valuation ratio (PEG 0.66). Q2 2026 revenue of $11.5B (+50% YoY) with Data Center at $6.7B (+107% YoY) demonstrates the AI GPU and server CPU thesis is executing at scale [1]. The near-debt-free balance sheet (D/E 6%, $8.84B net cash) provides financial flexibility for continued R&amp;D investment and strategic acquisitions [4]. CEO Lisa Su projects Data Center sales will double in 2027, with server revenue up 80%+ in H2 2026, providing clear visibility into sustained hypergrowth [1]. The MI350 GPU platform is gaining enterprise and hyperscaler adoption, while EPYC server CPUs continue gaining share from Intel. The 29% five-year revenue CAGR validates AMD's position as a structural AI growth compounder.</w:t>
      </w:r>
    </w:p>
    <w:p>
      <w:pPr>
        <w:spacing w:after="120"/>
      </w:pPr>
      <w:r>
        <w:rPr>
          <w:rFonts w:ascii="Calibri" w:hAnsi="Calibri"/>
          <w:b w:val="0"/>
          <w:color w:val="3A4A28"/>
          <w:sz w:val="20"/>
        </w:rPr>
        <w:t>The bear case centers on valuation, competitive risk, and cyclicality. Forward P/E of 43.30x prices in substantial sustained growth — any deceleration in AI GPU demand or loss of share to NVIDIA's next-generation Rubin platform could trigger meaningful multiple compression from current levels [1][4]. The trailing PE of 122.75x reflects that current profitability lags the forward expectations significantly, creating risk if the earnings ramp disappoints. ROE of 10.20% is depressed by Xilinx acquisition goodwill, but profit margin of 15.58% trails NVIDIA's 55%+ margins, highlighting AMD's weaker pricing power in AI GPUs. AMD remains the #2 AI GPU vendor behind NVIDIA's entrenched CUDA ecosystem — enterprise customers face switching costs that limit AMD's MI350 adoption rate despite competitive hardware [1]. The Inspire Impact Score of -67 (MISALIGNED) limits allocation for faith-based investors. Semiconductor cyclicality means the current AI investment boom could moderate, and customer concentration in hyperscalers (Amazon, Google, Microsoft) creates revenue volatility risk.</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Data Center revenue doubling to ~$50B+ annually in 2027 per CEO Lisa Su's guidance, driven by MI350 GPU ramp and continued EPYC server CPU share gains — H2 2026 server revenue expected up 80%+ creating massive earnings leverage [1]</w:t>
      </w:r>
    </w:p>
    <w:p>
      <w:pPr>
        <w:spacing w:before="40" w:after="40"/>
        <w:ind w:left="283"/>
      </w:pPr>
      <w:r>
        <w:rPr>
          <w:rFonts w:ascii="Calibri" w:hAnsi="Calibri"/>
          <w:b/>
          <w:color w:val="4A6B25"/>
          <w:sz w:val="20"/>
        </w:rPr>
        <w:t xml:space="preserve">2. </w:t>
      </w:r>
      <w:r>
        <w:rPr>
          <w:rFonts w:ascii="Calibri" w:hAnsi="Calibri"/>
          <w:b w:val="0"/>
          <w:color w:val="3A4A28"/>
          <w:sz w:val="20"/>
        </w:rPr>
        <w:t>Profit margin expansion from Data Center mix shift (58% of revenue and growing) as AI GPU and server CPU carry higher gross margins than consumer segments, driving ROE improvement from current 10.20% toward semiconductor peer averages [1][4]</w:t>
      </w:r>
    </w:p>
    <w:p>
      <w:pPr>
        <w:spacing w:before="40" w:after="40"/>
        <w:ind w:left="283"/>
      </w:pPr>
      <w:r>
        <w:rPr>
          <w:rFonts w:ascii="Calibri" w:hAnsi="Calibri"/>
          <w:b/>
          <w:color w:val="4A6B25"/>
          <w:sz w:val="20"/>
        </w:rPr>
        <w:t xml:space="preserve">3. </w:t>
      </w:r>
      <w:r>
        <w:rPr>
          <w:rFonts w:ascii="Calibri" w:hAnsi="Calibri"/>
          <w:b w:val="0"/>
          <w:color w:val="3A4A28"/>
          <w:sz w:val="20"/>
        </w:rPr>
        <w:t>Open AI ecosystem strategy (ROCm software, open-source tools) gaining traction as enterprises seek NVIDIA alternatives for AI workloads, potentially accelerating MI350 adoption and reducing CUDA switching costs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NVIDIA competitive dominance with CUDA ecosystem lock-in and next-generation Rubin platform could limit AMD's AI GPU market share gains despite MI350 hardware competitiveness — enterprise switching costs remain high [1]</w:t>
      </w:r>
    </w:p>
    <w:p>
      <w:pPr>
        <w:spacing w:before="40" w:after="40"/>
        <w:ind w:left="283"/>
      </w:pPr>
      <w:r>
        <w:rPr>
          <w:rFonts w:ascii="Calibri" w:hAnsi="Calibri"/>
          <w:b/>
          <w:color w:val="4A6B25"/>
          <w:sz w:val="20"/>
        </w:rPr>
        <w:t xml:space="preserve">2. </w:t>
      </w:r>
      <w:r>
        <w:rPr>
          <w:rFonts w:ascii="Calibri" w:hAnsi="Calibri"/>
          <w:b w:val="0"/>
          <w:color w:val="3A4A28"/>
          <w:sz w:val="20"/>
        </w:rPr>
        <w:t>Forward P/E of 43.30x embeds aggressive earnings growth assumptions — if Data Center growth decelerates from 107% YoY or if AI infrastructure spending moderates due to ROI scrutiny, the valuation could compress 30-40% [4]</w:t>
      </w:r>
    </w:p>
    <w:p>
      <w:pPr>
        <w:spacing w:before="40" w:after="40"/>
        <w:ind w:left="283"/>
      </w:pPr>
      <w:r>
        <w:rPr>
          <w:rFonts w:ascii="Calibri" w:hAnsi="Calibri"/>
          <w:b/>
          <w:color w:val="4A6B25"/>
          <w:sz w:val="20"/>
        </w:rPr>
        <w:t xml:space="preserve">3. </w:t>
      </w:r>
      <w:r>
        <w:rPr>
          <w:rFonts w:ascii="Calibri" w:hAnsi="Calibri"/>
          <w:b w:val="0"/>
          <w:color w:val="3A4A28"/>
          <w:sz w:val="20"/>
        </w:rPr>
        <w:t>Semiconductor cyclicality risk as AI infrastructure capex from hyperscalers (representing the majority of Data Center revenue) could moderate if AI monetization timelines extend, creating demand air pockets similar to the 2022-2023 PC downturn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(9/9 — IMMUNE): AMD IS AI infrastructure. The company designs the GPUs (Instinct MI350) and CPUs (EPYC) that physically power AI training, inference, and data center workloads. AI cannot disrupt a company that builds the hardware AI runs on — every expansion of AI adoption directly increases demand for AMD's products [1]. Data Center revenue of $6.7B in Q2 2026 (+107% YoY) demonstrates this structural alignment. AMD's proprietary semiconductor designs, TSMC fabrication partnerships, and custom silicon capabilities (Xilinx FPGAs, Pensando DPUs) create deep engineering moats that AI software cannot replicate. No analyst has flagged AI disruption risk for AMD; the consensus view is that AI is the primary growth driver for the foreseeable future. AI Opportunity (1/1): AMD generates massive quantifiable AI revenue — Data Center segment at $6.7B quarterly is predominantly AI-driven, representing 58% of total company revenue [1]. The MI350 GPU platform, EPYC server CPUs optimized for AI workloads, and custom AI silicon create a diversified AI revenue portfolio. CEO Lisa Su projects Data Center sales will double in 2027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-67</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Abortion Activism </w:t>
      </w:r>
      <w:r>
        <w:rPr>
          <w:rFonts w:ascii="Calibri" w:hAnsi="Calibri"/>
          <w:b w:val="0"/>
          <w:color w:val="9DAF88"/>
          <w:sz w:val="17"/>
        </w:rPr>
        <w:t xml:space="preserve">  ·  </w:t>
      </w:r>
      <w:r>
        <w:rPr>
          <w:rFonts w:ascii="Calibri" w:hAnsi="Calibri"/>
          <w:b/>
          <w:color w:val="DC2626"/>
          <w:sz w:val="17"/>
        </w:rPr>
        <w:t xml:space="preserve"> LGBT Activism </w:t>
      </w:r>
    </w:p>
    <w:p>
      <w:pPr>
        <w:spacing w:before="80" w:after="40"/>
      </w:pPr>
      <w:r>
        <w:rPr>
          <w:rFonts w:ascii="Calibri" w:hAnsi="Calibri"/>
          <w:b/>
          <w:color w:val="6E8450"/>
          <w:sz w:val="18"/>
        </w:rPr>
        <w:t xml:space="preserve">Positive: </w:t>
      </w:r>
      <w:r>
        <w:rPr>
          <w:rFonts w:ascii="Calibri" w:hAnsi="Calibri"/>
          <w:b/>
          <w:color w:val="16A34A"/>
          <w:sz w:val="17"/>
        </w:rPr>
        <w:t xml:space="preserve"> Air Quality </w:t>
      </w:r>
      <w:r>
        <w:rPr>
          <w:rFonts w:ascii="Calibri" w:hAnsi="Calibri"/>
          <w:b w:val="0"/>
          <w:color w:val="9DAF88"/>
          <w:sz w:val="17"/>
        </w:rPr>
        <w:t xml:space="preserve">  ·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AMD Q2 2026 Earnings Release — Record Revenue $11.5B (+50% YoY), Data Center $6.7B (+107%), Gross Margin 54%, EPS $1.38, CEO Guidance: Data Center to Double in 2027, Server Revenue +80% H2 2026, August 2026</w:t>
      </w:r>
    </w:p>
    <w:p>
      <w:pPr>
        <w:spacing w:before="20" w:after="20"/>
        <w:ind w:left="170"/>
      </w:pPr>
      <w:r>
        <w:rPr>
          <w:rFonts w:ascii="Calibri" w:hAnsi="Calibri"/>
          <w:b/>
          <w:color w:val="4A6B25"/>
          <w:sz w:val="15"/>
        </w:rPr>
        <w:t xml:space="preserve">2. </w:t>
      </w:r>
      <w:r>
        <w:rPr>
          <w:rFonts w:ascii="Calibri" w:hAnsi="Calibri"/>
          <w:b w:val="0"/>
          <w:color w:val="3A4A28"/>
          <w:sz w:val="17"/>
        </w:rPr>
        <w:t>AMD Q1 2026 Earnings Release — Revenue $10.3B (+38% YoY), Data Center $5.8B (+57%), EPS $0.84, Stock Surged 16% Post-Earnings, CNBC / Yahoo Finance, May 2026</w:t>
      </w:r>
    </w:p>
    <w:p>
      <w:pPr>
        <w:spacing w:before="20" w:after="20"/>
        <w:ind w:left="170"/>
      </w:pPr>
      <w:r>
        <w:rPr>
          <w:rFonts w:ascii="Calibri" w:hAnsi="Calibri"/>
          <w:b/>
          <w:color w:val="4A6B25"/>
          <w:sz w:val="15"/>
        </w:rPr>
        <w:t xml:space="preserve">3. </w:t>
      </w:r>
      <w:r>
        <w:rPr>
          <w:rFonts w:ascii="Calibri" w:hAnsi="Calibri"/>
          <w:b w:val="0"/>
          <w:color w:val="3A4A28"/>
          <w:sz w:val="17"/>
        </w:rPr>
        <w:t>Lisa Su Leadership Profile — CEO of the Year, AMD Renaissance from &lt;$2B to $785B Market Cap, Open AI Ecosystem Strategy, Chief Executive Magazine / Andreessen Horowitz, 2025-2026</w:t>
      </w:r>
    </w:p>
    <w:p>
      <w:pPr>
        <w:spacing w:before="20" w:after="20"/>
        <w:ind w:left="170"/>
      </w:pPr>
      <w:r>
        <w:rPr>
          <w:rFonts w:ascii="Calibri" w:hAnsi="Calibri"/>
          <w:b/>
          <w:color w:val="4A6B25"/>
          <w:sz w:val="15"/>
        </w:rPr>
        <w:t xml:space="preserve">4. </w:t>
      </w:r>
      <w:r>
        <w:rPr>
          <w:rFonts w:ascii="Calibri" w:hAnsi="Calibri"/>
          <w:b w:val="0"/>
          <w:color w:val="3A4A28"/>
          <w:sz w:val="17"/>
        </w:rPr>
        <w:t>StockAnalysis — AMD Key Statistics: Forward PE 43.30, PEG 0.66, D/E 0.06, ROE 10.20%, Profit Margin 15.58%, Net Cash $8.84B, Stock Price $480.93, 52-Week Change +194%,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