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drawing>
          <wp:inline xmlns:a="http://schemas.openxmlformats.org/drawingml/2006/main" xmlns:pic="http://schemas.openxmlformats.org/drawingml/2006/picture">
            <wp:extent cx="1371600" cy="723227"/>
            <wp:docPr id="1" name="Picture 1"/>
            <wp:cNvGraphicFramePr>
              <a:graphicFrameLocks noChangeAspect="1"/>
            </wp:cNvGraphicFramePr>
            <a:graphic>
              <a:graphicData uri="http://schemas.openxmlformats.org/drawingml/2006/picture">
                <pic:pic>
                  <pic:nvPicPr>
                    <pic:cNvPr id="0" name="image.png"/>
                    <pic:cNvPicPr/>
                  </pic:nvPicPr>
                  <pic:blipFill>
                    <a:blip r:embed="rId9"/>
                    <a:stretch>
                      <a:fillRect/>
                    </a:stretch>
                  </pic:blipFill>
                  <pic:spPr>
                    <a:xfrm>
                      <a:off x="0" y="0"/>
                      <a:ext cx="1371600" cy="723227"/>
                    </a:xfrm>
                    <a:prstGeom prst="rect"/>
                  </pic:spPr>
                </pic:pic>
              </a:graphicData>
            </a:graphic>
          </wp:inline>
        </w:drawing>
      </w:r>
    </w:p>
    <w:p>
      <w:pPr>
        <w:spacing w:before="120" w:after="40"/>
      </w:pPr>
      <w:r>
        <w:rPr>
          <w:rFonts w:ascii="Calibri" w:hAnsi="Calibri"/>
          <w:b/>
          <w:color w:val="4A6B25"/>
          <w:sz w:val="56"/>
        </w:rPr>
        <w:t>ASO</w:t>
      </w:r>
      <w:r>
        <w:rPr>
          <w:rFonts w:ascii="Calibri" w:hAnsi="Calibri"/>
          <w:b/>
          <w:color w:val="1A2010"/>
          <w:sz w:val="40"/>
        </w:rPr>
        <w:t xml:space="preserve">  Academy Sports and Outdoors, Inc.</w:t>
      </w:r>
    </w:p>
    <w:p>
      <w:pPr>
        <w:spacing w:after="120"/>
      </w:pPr>
      <w:r>
        <w:rPr>
          <w:rFonts w:ascii="Calibri" w:hAnsi="Calibri"/>
          <w:b/>
          <w:color w:val="6E8450"/>
          <w:sz w:val="18"/>
        </w:rPr>
        <w:t>GROWTH SLEEVE · 2026-07-26 · Inspire: 54 · FINITE</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1200" w:type="dxa"/>
      </w:tblPr>
      <w:tblGrid>
        <w:gridCol w:w="10800"/>
      </w:tblGrid>
      <w:tr>
        <w:tc>
          <w:tcPr>
            <w:tcW w:type="dxa" w:w="10800"/>
            <w:shd w:fill="E3F2FD" w:val="clear"/>
          </w:tcPr>
          <w:p>
            <w:pPr>
              <w:spacing w:before="40" w:after="40"/>
              <w:jc w:val="center"/>
            </w:pPr>
            <w:r>
              <w:rPr>
                <w:rFonts w:ascii="Calibri" w:hAnsi="Calibri"/>
                <w:b/>
                <w:color w:val="2563EB"/>
                <w:sz w:val="20"/>
              </w:rPr>
              <w:t>WATCH</w:t>
            </w:r>
          </w:p>
        </w:tc>
      </w:tr>
    </w:tbl>
    <w:p>
      <w:pPr>
        <w:spacing w:before="120" w:after="200"/>
      </w:pPr>
      <w:r>
        <w:rPr>
          <w:rFonts w:ascii="Calibri" w:hAnsi="Calibri"/>
          <w:b/>
          <w:color w:val="1A2010"/>
          <w:sz w:val="80"/>
        </w:rPr>
        <w:t>53</w:t>
      </w:r>
      <w:r>
        <w:rPr>
          <w:rFonts w:ascii="Calibri" w:hAnsi="Calibri"/>
          <w:b w:val="0"/>
          <w:color w:val="9DAF88"/>
          <w:sz w:val="28"/>
        </w:rPr>
        <w:t xml:space="preserve"> / </w:t>
      </w:r>
      <w:r>
        <w:rPr>
          <w:rFonts w:ascii="Calibri" w:hAnsi="Calibri"/>
          <w:b w:val="0"/>
          <w:color w:val="9DAF88"/>
          <w:sz w:val="24"/>
        </w:rPr>
        <w:t>100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COMPANY PROFILE</w:t>
            </w:r>
          </w:p>
        </w:tc>
      </w:tr>
    </w:tbl>
    <w:p>
      <w:r>
        <w:rPr>
          <w:rFonts w:ascii="Calibri" w:hAnsi="Calibri"/>
          <w:b/>
          <w:color w:val="6E8450"/>
          <w:sz w:val="18"/>
        </w:rPr>
        <w:t>Consumer Cyclical · Specialty Retail · NASDAQ · United States</w:t>
      </w:r>
    </w:p>
    <w:p>
      <w:pPr>
        <w:spacing w:after="80"/>
      </w:pPr>
      <w:r>
        <w:rPr>
          <w:rFonts w:ascii="Calibri" w:hAnsi="Calibri"/>
          <w:b w:val="0"/>
          <w:color w:val="3A4A28"/>
          <w:sz w:val="20"/>
        </w:rPr>
        <w:t>Academy Sports and Outdoors is a sporting goods and outdoor recreational retailer operating 290+ stores across the southern United States. The company sells sporting equipment, outdoor gear, apparel, and footwear across four divisions: Outdoors (camping, fishing, hunting), Sports &amp; Recreation, Apparel, and Footwear, under brands including Academy Sports + Outdoors, Magellan Outdoors, BCG, and Game Winner.</w:t>
      </w:r>
    </w:p>
    <w:p>
      <w:r>
        <w:rPr>
          <w:rFonts w:ascii="Calibri" w:hAnsi="Calibri"/>
          <w:b/>
          <w:color w:val="6E8450"/>
          <w:sz w:val="18"/>
        </w:rPr>
        <w:t>10,350 Employees · https://www.academy.com</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EXCELLENCE EVALUATION — THINK LIKE AN OWNER (50%)</w:t>
            </w:r>
          </w:p>
        </w:tc>
      </w:tr>
    </w:tbl>
    <w:p>
      <w:pPr>
        <w:spacing w:before="200" w:after="40"/>
      </w:pPr>
      <w:r>
        <w:rPr>
          <w:rFonts w:ascii="Calibri" w:hAnsi="Calibri"/>
          <w:b/>
          <w:color w:val="1A2010"/>
          <w:sz w:val="22"/>
        </w:rPr>
        <w:t>Innovation</w:t>
      </w:r>
      <w:r>
        <w:rPr>
          <w:rFonts w:ascii="Calibri" w:hAnsi="Calibri"/>
          <w:b w:val="0"/>
          <w:color w:val="1A2010"/>
          <w:sz w:val="22"/>
        </w:rPr>
        <w:t xml:space="preserve">  </w:t>
      </w:r>
      <w:r>
        <w:rPr>
          <w:rFonts w:ascii="Calibri" w:hAnsi="Calibri"/>
          <w:b/>
          <w:color w:val="B8860B"/>
          <w:sz w:val="16"/>
        </w:rPr>
        <w:t xml:space="preserve"> DEVELOPING </w:t>
      </w:r>
    </w:p>
    <w:p>
      <w:pPr>
        <w:spacing w:before="0" w:after="40"/>
      </w:pPr>
      <w:r>
        <w:rPr>
          <w:rFonts w:ascii="Calibri" w:hAnsi="Calibri"/>
          <w:b/>
          <w:color w:val="B8860B"/>
          <w:sz w:val="28"/>
        </w:rPr>
        <w:t>5</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2756"/>
            <w:shd w:fill="B8860B" w:val="clear"/>
          </w:tcPr>
          <w:p>
            <w:pPr>
              <w:spacing w:before="0" w:after="0"/>
            </w:pPr>
            <w:r>
              <w:rPr>
                <w:rFonts w:ascii="Calibri" w:hAnsi="Calibri"/>
                <w:b w:val="0"/>
                <w:color w:val="1A2010"/>
                <w:sz w:val="4"/>
              </w:rPr>
            </w:r>
          </w:p>
        </w:tc>
        <w:tc>
          <w:tcPr>
            <w:tcW w:type="dxa" w:w="2756"/>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Track Record (1/3): Academy has executed steady store expansion to 290+ locations and built out omnichannel capabilities since its 2020 IPO, but no transformative product launches or business model pivots — the core sporting goods retail model is unchanged [1]. AI Deployment (2/2): Academy has deployed a cross-functional AI Council under CIO Sumit Anand, integrating agent-based AI tools for merchandising, Revionics AI platform for base price and markdown optimization (partnership spanning a decade), and invent.ai for item-level allocation and replenishment — a disciplined, value-first AI strategy that drives measurable revenue improvement [3]. Market Share (1/2): Academy is a meaningful regional player in sporting goods with strength in the fast-growing southern U.S., but competes against larger national chains (Dick's Sporting Goods, Bass Pro/Cabela's) and does not lead any category nationally [1]. Pipeline (0/2): No next-generation concepts, formats, or technology platforms announced with specific timelines beyond continued store openings and incremental digital improvements [1]. R&amp;D Intensity (1/1): Significant investment in technology modernization under CIO Sumit Anand, including AI-powered merchandising, data architecture overhaul, and e-commerce personalization, above typical specialty retail peers [3].</w:t>
      </w:r>
    </w:p>
    <w:p>
      <w:pPr>
        <w:spacing w:before="200" w:after="40"/>
      </w:pPr>
      <w:r>
        <w:rPr>
          <w:rFonts w:ascii="Calibri" w:hAnsi="Calibri"/>
          <w:b/>
          <w:color w:val="1A2010"/>
          <w:sz w:val="22"/>
        </w:rPr>
        <w:t>Inspiration</w:t>
      </w:r>
      <w:r>
        <w:rPr>
          <w:rFonts w:ascii="Calibri" w:hAnsi="Calibri"/>
          <w:b w:val="0"/>
          <w:color w:val="1A2010"/>
          <w:sz w:val="22"/>
        </w:rPr>
        <w:t xml:space="preserve">  </w:t>
      </w:r>
      <w:r>
        <w:rPr>
          <w:rFonts w:ascii="Calibri" w:hAnsi="Calibri"/>
          <w:b/>
          <w:color w:val="B8860B"/>
          <w:sz w:val="16"/>
        </w:rPr>
        <w:t xml:space="preserve"> DEVELOPING </w:t>
      </w:r>
    </w:p>
    <w:p>
      <w:pPr>
        <w:spacing w:before="0" w:after="40"/>
      </w:pPr>
      <w:r>
        <w:rPr>
          <w:rFonts w:ascii="Calibri" w:hAnsi="Calibri"/>
          <w:b/>
          <w:color w:val="B8860B"/>
          <w:sz w:val="28"/>
        </w:rPr>
        <w:t>4</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2205"/>
            <w:shd w:fill="B8860B" w:val="clear"/>
          </w:tcPr>
          <w:p>
            <w:pPr>
              <w:spacing w:before="0" w:after="0"/>
            </w:pPr>
            <w:r>
              <w:rPr>
                <w:rFonts w:ascii="Calibri" w:hAnsi="Calibri"/>
                <w:b w:val="0"/>
                <w:color w:val="1A2010"/>
                <w:sz w:val="4"/>
              </w:rPr>
            </w:r>
          </w:p>
        </w:tc>
        <w:tc>
          <w:tcPr>
            <w:tcW w:type="dxa" w:w="3307"/>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Mission Floor (2/4): Academy's purpose centers on being 'the best sports and outdoors retailer in the country' — clear and category-specific but ultimately a competitive aspiration rather than a transformative vision for customers or communities [1]. Community Impact (1/2): Academy engages in sports sponsorships and local store community involvement, but no distinctive large-scale foundation or quantified charitable programs differentiate it from peer retailers [1]. Employee Retention (0/2): Comparably leadership rating of D- from 455 employees places Academy in the bottom 10% of companies with 10,000+ employees; Glassdoor shows 3.0/5 culture and values, 2.9/5 career opportunities, with reviews citing rolling layoffs for years and inconsistent leadership [4]. Insider Buying (1/2): Board raised the dividend for the fourth consecutive year signaling capital return commitment, and management continues aggressive share buybacks ($121.6M FCF up 14.2%), but no open-market insider purchases by executives were identified [5].</w:t>
      </w:r>
    </w:p>
    <w:p>
      <w:pPr>
        <w:spacing w:before="200" w:after="40"/>
      </w:pPr>
      <w:r>
        <w:rPr>
          <w:rFonts w:ascii="Calibri" w:hAnsi="Calibri"/>
          <w:b/>
          <w:color w:val="1A2010"/>
          <w:sz w:val="22"/>
        </w:rPr>
        <w:t>Infrastructure</w:t>
      </w:r>
      <w:r>
        <w:rPr>
          <w:rFonts w:ascii="Calibri" w:hAnsi="Calibri"/>
          <w:b w:val="0"/>
          <w:color w:val="1A2010"/>
          <w:sz w:val="22"/>
        </w:rPr>
        <w:t xml:space="preserve">  </w:t>
      </w:r>
      <w:r>
        <w:rPr>
          <w:rFonts w:ascii="Calibri" w:hAnsi="Calibri"/>
          <w:b/>
          <w:color w:val="16A34A"/>
          <w:sz w:val="16"/>
        </w:rPr>
        <w:t xml:space="preserve"> STRONG </w:t>
      </w:r>
    </w:p>
    <w:p>
      <w:pPr>
        <w:spacing w:before="0" w:after="40"/>
      </w:pPr>
      <w:r>
        <w:rPr>
          <w:rFonts w:ascii="Calibri" w:hAnsi="Calibri"/>
          <w:b/>
          <w:color w:val="16A34A"/>
          <w:sz w:val="28"/>
        </w:rPr>
        <w:t>8</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4409"/>
            <w:shd w:fill="16A34A" w:val="clear"/>
          </w:tcPr>
          <w:p>
            <w:pPr>
              <w:spacing w:before="0" w:after="0"/>
            </w:pPr>
            <w:r>
              <w:rPr>
                <w:rFonts w:ascii="Calibri" w:hAnsi="Calibri"/>
                <w:b w:val="0"/>
                <w:color w:val="1A2010"/>
                <w:sz w:val="4"/>
              </w:rPr>
            </w:r>
          </w:p>
        </w:tc>
        <w:tc>
          <w:tcPr>
            <w:tcW w:type="dxa" w:w="1102"/>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Academy's valuation remains compelling at 8.56x forward P/E with a 0.92 PEG ratio, suggesting the market prices in minimal growth for a profitable retailer generating 18% ROE [5]. D/E of 87% is manageable with $289M cash against $1.87B debt. Revenue growth has accelerated — Q1 FY2027 delivered 6.7% sales growth with outdoor merchandise up 11.7%, and comparable sales grew 2.9% [1]. Q2 FY2027 continued with 3.3% revenue growth to $1.6B, though net income fell 12% to $125.4M due to gross margin pressure (down 71bps) [2]. FY2026 annual revenue of $6.05B grew just 2.02% with a 5-year CAGR of 1.25%, reflecting post-COVID normalization. Profit margin of 6.27% is thin but typical for sporting goods retail. Liquidity floor cleared: 1.48M avg vol x $48.25 = $71.4M daily [5].</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FINITE VS INFINITE GAME — SINEK (25%)</w:t>
            </w:r>
          </w:p>
        </w:tc>
      </w:tr>
    </w:tbl>
    <w:p>
      <w:pPr>
        <w:spacing w:after="40"/>
      </w:pPr>
      <w:r>
        <w:rPr>
          <w:rFonts w:ascii="Calibri" w:hAnsi="Calibri"/>
          <w:b w:val="0"/>
          <w:color w:val="6E8450"/>
          <w:sz w:val="22"/>
        </w:rPr>
        <w:t xml:space="preserve">Mindset: </w:t>
      </w:r>
      <w:r>
        <w:rPr>
          <w:rFonts w:ascii="Calibri" w:hAnsi="Calibri"/>
          <w:b/>
          <w:color w:val="DC2626"/>
          <w:sz w:val="22"/>
        </w:rPr>
        <w:t>FINITE</w:t>
      </w:r>
      <w:r>
        <w:rPr>
          <w:rFonts w:ascii="Calibri" w:hAnsi="Calibri"/>
          <w:b w:val="0"/>
          <w:color w:val="6E8450"/>
          <w:sz w:val="22"/>
        </w:rPr>
        <w:t xml:space="preserve">      Overall: </w:t>
      </w:r>
      <w:r>
        <w:rPr>
          <w:rFonts w:ascii="Calibri" w:hAnsi="Calibri"/>
          <w:b/>
          <w:color w:val="DC2626"/>
          <w:sz w:val="28"/>
        </w:rPr>
        <w:t>3</w:t>
      </w:r>
      <w:r>
        <w:rPr>
          <w:rFonts w:ascii="Calibri" w:hAnsi="Calibri"/>
          <w:b w:val="0"/>
          <w:color w:val="9DAF88"/>
          <w:sz w:val="18"/>
        </w:rPr>
        <w:t xml:space="preserve"> /10</w:t>
      </w:r>
    </w:p>
    <w:p>
      <w:pPr>
        <w:spacing w:after="120"/>
      </w:pPr>
      <w:r>
        <w:rPr>
          <w:rFonts w:ascii="Calibri" w:hAnsi="Calibri"/>
          <w:b w:val="0"/>
          <w:color w:val="3A4A28"/>
          <w:sz w:val="18"/>
        </w:rPr>
        <w:t>Academy Sports plays a largely finite game focused on operational efficiency and quarterly earnings optimization. The D- leadership rating on Comparably (bottom 10% of large employers), rolling layoffs cited by employees, and a competitive aspiration masquerading as a purpose statement reflect an organization optimizing for near-term results rather than building for endurance. While the company has shown some adaptability since its 2020 IPO, the dominant strategic narrative centers on EPS targets and cost management.</w:t>
      </w:r>
    </w:p>
    <w:p>
      <w:pPr>
        <w:spacing w:before="200" w:after="40"/>
      </w:pPr>
      <w:r>
        <w:rPr>
          <w:rFonts w:ascii="Calibri" w:hAnsi="Calibri"/>
          <w:b/>
          <w:color w:val="1A2010"/>
          <w:sz w:val="22"/>
        </w:rPr>
        <w:t>Just Cause</w:t>
      </w:r>
    </w:p>
    <w:p>
      <w:pPr>
        <w:spacing w:before="0" w:after="40"/>
      </w:pPr>
      <w:r>
        <w:rPr>
          <w:rFonts w:ascii="Calibri" w:hAnsi="Calibri"/>
          <w:b/>
          <w:color w:val="B8860B"/>
          <w:sz w:val="28"/>
        </w:rPr>
        <w:t>4</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2205"/>
            <w:shd w:fill="B8860B" w:val="clear"/>
          </w:tcPr>
          <w:p>
            <w:pPr>
              <w:spacing w:before="0" w:after="0"/>
            </w:pPr>
            <w:r>
              <w:rPr>
                <w:rFonts w:ascii="Calibri" w:hAnsi="Calibri"/>
                <w:b w:val="0"/>
                <w:color w:val="1A2010"/>
                <w:sz w:val="4"/>
              </w:rPr>
            </w:r>
          </w:p>
        </w:tc>
        <w:tc>
          <w:tcPr>
            <w:tcW w:type="dxa" w:w="3307"/>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Just Cause (1/3): Academy's stated ambition to be 'the best sports and outdoors retailer in the country' is a competitive goal, not a Just Cause — it describes winning, not advancing a future state worth sacrificing for [1]. Public messaging centers on financial metrics and store count growth rather than articulating why accessible sporting goods and outdoor recreation matter for communities. Sinek would say this is playing to win, not playing to advance a cause.</w:t>
      </w:r>
    </w:p>
    <w:p>
      <w:pPr>
        <w:spacing w:before="200" w:after="40"/>
      </w:pPr>
      <w:r>
        <w:rPr>
          <w:rFonts w:ascii="Calibri" w:hAnsi="Calibri"/>
          <w:b/>
          <w:color w:val="1A2010"/>
          <w:sz w:val="22"/>
        </w:rPr>
        <w:t>Trusting Teams</w:t>
      </w:r>
    </w:p>
    <w:p>
      <w:pPr>
        <w:spacing w:before="0" w:after="40"/>
      </w:pPr>
      <w:r>
        <w:rPr>
          <w:rFonts w:ascii="Calibri" w:hAnsi="Calibri"/>
          <w:b/>
          <w:color w:val="DC2626"/>
          <w:sz w:val="28"/>
        </w:rPr>
        <w:t>2</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1102"/>
            <w:shd w:fill="DC2626" w:val="clear"/>
          </w:tcPr>
          <w:p>
            <w:pPr>
              <w:spacing w:before="0" w:after="0"/>
            </w:pPr>
            <w:r>
              <w:rPr>
                <w:rFonts w:ascii="Calibri" w:hAnsi="Calibri"/>
                <w:b w:val="0"/>
                <w:color w:val="1A2010"/>
                <w:sz w:val="4"/>
              </w:rPr>
            </w:r>
          </w:p>
        </w:tc>
        <w:tc>
          <w:tcPr>
            <w:tcW w:type="dxa" w:w="4409"/>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Trusting Teams (0/2): Comparably rates Academy's leadership team D- based on 455 employee responses, placing it in the bottom 10% of companies with 10,000+ employees [4]. Glassdoor shows 3.0/5 culture and values, 2.9/5 career opportunities. Employee reviews cite rolling layoffs that have been happening for years, numbers-focused management, and overall cultural decline. The company 'doesn't want to/can't afford to implement the technology and systems needed' per employee feedback. This evidence points to a low-trust environment with organizational instability.</w:t>
      </w:r>
    </w:p>
    <w:p>
      <w:pPr>
        <w:spacing w:before="200" w:after="40"/>
      </w:pPr>
      <w:r>
        <w:rPr>
          <w:rFonts w:ascii="Calibri" w:hAnsi="Calibri"/>
          <w:b/>
          <w:color w:val="1A2010"/>
          <w:sz w:val="22"/>
        </w:rPr>
        <w:t>Worthy Rivals</w:t>
      </w:r>
    </w:p>
    <w:p>
      <w:pPr>
        <w:spacing w:before="0" w:after="40"/>
      </w:pPr>
      <w:r>
        <w:rPr>
          <w:rFonts w:ascii="Calibri" w:hAnsi="Calibri"/>
          <w:b/>
          <w:color w:val="DC2626"/>
          <w:sz w:val="28"/>
        </w:rPr>
        <w:t>3</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1654"/>
            <w:shd w:fill="DC2626" w:val="clear"/>
          </w:tcPr>
          <w:p>
            <w:pPr>
              <w:spacing w:before="0" w:after="0"/>
            </w:pPr>
            <w:r>
              <w:rPr>
                <w:rFonts w:ascii="Calibri" w:hAnsi="Calibri"/>
                <w:b w:val="0"/>
                <w:color w:val="1A2010"/>
                <w:sz w:val="4"/>
              </w:rPr>
            </w:r>
          </w:p>
        </w:tc>
        <w:tc>
          <w:tcPr>
            <w:tcW w:type="dxa" w:w="3858"/>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Worthy Rivals (0/1): Academy's competitive language focuses on market share gains and positioning against Dick's Sporting Goods rather than learning from rivals' strengths. Management commentary emphasizes 'winning' in geographic markets and competitive positioning rather than acknowledging areas for self-improvement [1].</w:t>
      </w:r>
    </w:p>
    <w:p>
      <w:pPr>
        <w:spacing w:before="200" w:after="40"/>
      </w:pPr>
      <w:r>
        <w:rPr>
          <w:rFonts w:ascii="Calibri" w:hAnsi="Calibri"/>
          <w:b/>
          <w:color w:val="1A2010"/>
          <w:sz w:val="22"/>
        </w:rPr>
        <w:t>Existential Flexibility</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Existential Flexibility (1/2): Academy has evolved from a pure brick-and-mortar retailer to an omnichannel operator since its 2020 IPO, investing in e-commerce, AI-driven merchandising via the AI Council, and technology modernization under CIO Sumit Anand [3]. The expansion from regional Texas roots to 290+ stores across the southern U.S. shows geographic adaptability. However, the core business model of selling sporting goods through physical stores remains fundamentally unchanged.</w:t>
      </w:r>
    </w:p>
    <w:p>
      <w:pPr>
        <w:spacing w:before="200" w:after="40"/>
      </w:pPr>
      <w:r>
        <w:rPr>
          <w:rFonts w:ascii="Calibri" w:hAnsi="Calibri"/>
          <w:b/>
          <w:color w:val="1A2010"/>
          <w:sz w:val="22"/>
        </w:rPr>
        <w:t>Courage To Lead</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Courage to Lead (1/2): Academy invested in technology modernization and AI capabilities (AI Council, Revionics, invent.ai) during a period of earnings normalization (net income declining from post-COVID peaks), prioritizing long-term capability over pure cost-cutting [3]. Q1 FY2027 adjusted EPS growth of 22.4% and free cash flow up 14.2% suggest these investments are bearing fruit [1]. However, the rolling layoffs cited by employees suggest the company also defaults to cost reduction when pressure mounts.</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INVESTMENT THESIS</w:t>
            </w:r>
          </w:p>
        </w:tc>
      </w:tr>
    </w:tbl>
    <w:p>
      <w:pPr>
        <w:spacing w:after="120"/>
      </w:pPr>
      <w:r>
        <w:rPr>
          <w:rFonts w:ascii="Calibri" w:hAnsi="Calibri"/>
          <w:b w:val="0"/>
          <w:color w:val="3A4A28"/>
          <w:sz w:val="20"/>
        </w:rPr>
        <w:t>Academy Sports trades at a compelling 8.56x forward P/E with a 0.92 PEG ratio, offering deep value for a profitable sporting goods retailer generating $6.05B in annual revenue with 18% ROE and improving growth trajectory [1][5]. Q1 FY2027 delivered 6.7% revenue growth with outdoor merchandise surging 11.7% and adjusted EPS up 22.4% to $0.93, while free cash flow rose 14.2% to $121.6M [1]. The AI-powered merchandising strategy under CIO Sumit Anand — spanning Revionics pricing optimization, invent.ai allocation, and a cross-functional AI Council — positions Academy to improve margins and inventory efficiency as the post-COVID normalization period ends [3]. With 290+ stores concentrated in the fast-growing southern U.S. and defensive categories (firearms, hunting, outdoor gear), Academy offers reasonable downside protection with expansion upside.</w:t>
      </w:r>
    </w:p>
    <w:p>
      <w:pPr>
        <w:spacing w:after="120"/>
      </w:pPr>
      <w:r>
        <w:rPr>
          <w:rFonts w:ascii="Calibri" w:hAnsi="Calibri"/>
          <w:b w:val="0"/>
          <w:color w:val="3A4A28"/>
          <w:sz w:val="20"/>
        </w:rPr>
        <w:t>The bear case centers on cultural deterioration and competitive headwinds. Comparably rates Academy's leadership team D- (bottom 10% of large employers), with Glassdoor showing 3.0/5 culture and values and employees citing rolling layoffs for years — creating execution risk as the company needs engaged employees to compete with Dick's Sporting Goods and Amazon [4]. Q2 FY2027 saw net income fall 12% to $125.4M despite 3.3% revenue growth, suggesting gross margin pressure (down 71bps) from tariff-driven cost increases on imported sporting goods and apparel [2]. Profit margin of 6.27% is thin, leaving little buffer. The 5-year revenue CAGR of just 1.25% reveals that post-COVID organic growth remains elusive despite the Q1 acceleration. Firearms and ammunition (~20% of revenue) face regulatory and ESG headwinds that constrain the institutional investor base. At $48.25, the stock trades near the middle of its 52-week range ($41.29-$62.45), offering limited margin of safety if earnings normalization resumes.</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KEY CATALYSTS</w:t>
            </w:r>
          </w:p>
        </w:tc>
      </w:tr>
    </w:tbl>
    <w:p>
      <w:pPr>
        <w:spacing w:before="40" w:after="40"/>
        <w:ind w:left="283"/>
      </w:pPr>
      <w:r>
        <w:rPr>
          <w:rFonts w:ascii="Calibri" w:hAnsi="Calibri"/>
          <w:b/>
          <w:color w:val="4A6B25"/>
          <w:sz w:val="20"/>
        </w:rPr>
        <w:t xml:space="preserve">1. </w:t>
      </w:r>
      <w:r>
        <w:rPr>
          <w:rFonts w:ascii="Calibri" w:hAnsi="Calibri"/>
          <w:b w:val="0"/>
          <w:color w:val="3A4A28"/>
          <w:sz w:val="20"/>
        </w:rPr>
        <w:t>Revenue growth acceleration — Q1 FY2027 delivered 6.7% growth with outdoor merchandise up 11.7%, suggesting the post-COVID normalization may be ending and organic growth returning [1]</w:t>
      </w:r>
    </w:p>
    <w:p>
      <w:pPr>
        <w:spacing w:before="40" w:after="40"/>
        <w:ind w:left="283"/>
      </w:pPr>
      <w:r>
        <w:rPr>
          <w:rFonts w:ascii="Calibri" w:hAnsi="Calibri"/>
          <w:b/>
          <w:color w:val="4A6B25"/>
          <w:sz w:val="20"/>
        </w:rPr>
        <w:t xml:space="preserve">2. </w:t>
      </w:r>
      <w:r>
        <w:rPr>
          <w:rFonts w:ascii="Calibri" w:hAnsi="Calibri"/>
          <w:b w:val="0"/>
          <w:color w:val="3A4A28"/>
          <w:sz w:val="20"/>
        </w:rPr>
        <w:t>AI-powered merchandising efficiency via cross-functional AI Council, Revionics pricing optimization, and invent.ai allocation driving margin improvement through better inventory management and reduced markdowns [3]</w:t>
      </w:r>
    </w:p>
    <w:p>
      <w:pPr>
        <w:spacing w:before="40" w:after="40"/>
        <w:ind w:left="283"/>
      </w:pPr>
      <w:r>
        <w:rPr>
          <w:rFonts w:ascii="Calibri" w:hAnsi="Calibri"/>
          <w:b/>
          <w:color w:val="4A6B25"/>
          <w:sz w:val="20"/>
        </w:rPr>
        <w:t xml:space="preserve">3. </w:t>
      </w:r>
      <w:r>
        <w:rPr>
          <w:rFonts w:ascii="Calibri" w:hAnsi="Calibri"/>
          <w:b w:val="0"/>
          <w:color w:val="3A4A28"/>
          <w:sz w:val="20"/>
        </w:rPr>
        <w:t>Continued new store expansion in underpenetrated southern U.S. markets with strong demographic tailwinds, plus fourth consecutive dividend increase and aggressive share buybacks demonstrating capital return discipline [1][5]</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DC2626"/>
            </w:tcBorders>
          </w:tcPr>
          <w:p>
            <w:pPr>
              <w:spacing w:before="240" w:after="80"/>
            </w:pPr>
            <w:r>
              <w:rPr>
                <w:rFonts w:ascii="Calibri" w:hAnsi="Calibri"/>
                <w:b/>
                <w:color w:val="6E8450"/>
                <w:sz w:val="17"/>
              </w:rPr>
              <w:t>KEY RISKS</w:t>
            </w:r>
          </w:p>
        </w:tc>
      </w:tr>
    </w:tbl>
    <w:p>
      <w:pPr>
        <w:spacing w:before="40" w:after="40"/>
        <w:ind w:left="283"/>
      </w:pPr>
      <w:r>
        <w:rPr>
          <w:rFonts w:ascii="Calibri" w:hAnsi="Calibri"/>
          <w:b/>
          <w:color w:val="4A6B25"/>
          <w:sz w:val="20"/>
        </w:rPr>
        <w:t xml:space="preserve">1. </w:t>
      </w:r>
      <w:r>
        <w:rPr>
          <w:rFonts w:ascii="Calibri" w:hAnsi="Calibri"/>
          <w:b w:val="0"/>
          <w:color w:val="3A4A28"/>
          <w:sz w:val="20"/>
        </w:rPr>
        <w:t>Cultural deterioration — D- leadership rating on Comparably (bottom 10%), rolling layoffs, and 3.0/5 Glassdoor culture score could undermine customer service quality and retention of key talent needed to execute the AI-driven merchandising strategy [4]</w:t>
      </w:r>
    </w:p>
    <w:p>
      <w:pPr>
        <w:spacing w:before="40" w:after="40"/>
        <w:ind w:left="283"/>
      </w:pPr>
      <w:r>
        <w:rPr>
          <w:rFonts w:ascii="Calibri" w:hAnsi="Calibri"/>
          <w:b/>
          <w:color w:val="4A6B25"/>
          <w:sz w:val="20"/>
        </w:rPr>
        <w:t xml:space="preserve">2. </w:t>
      </w:r>
      <w:r>
        <w:rPr>
          <w:rFonts w:ascii="Calibri" w:hAnsi="Calibri"/>
          <w:b w:val="0"/>
          <w:color w:val="3A4A28"/>
          <w:sz w:val="20"/>
        </w:rPr>
        <w:t>Gross margin pressure — Q2 FY2027 margins fell 71bps despite revenue growth, reflecting tariff exposure on Chinese-sourced sporting goods, apparel, and footwear threatening already-thin 6.27% net margins [2]</w:t>
      </w:r>
    </w:p>
    <w:p>
      <w:pPr>
        <w:spacing w:before="40" w:after="40"/>
        <w:ind w:left="283"/>
      </w:pPr>
      <w:r>
        <w:rPr>
          <w:rFonts w:ascii="Calibri" w:hAnsi="Calibri"/>
          <w:b/>
          <w:color w:val="4A6B25"/>
          <w:sz w:val="20"/>
        </w:rPr>
        <w:t xml:space="preserve">3. </w:t>
      </w:r>
      <w:r>
        <w:rPr>
          <w:rFonts w:ascii="Calibri" w:hAnsi="Calibri"/>
          <w:b w:val="0"/>
          <w:color w:val="3A4A28"/>
          <w:sz w:val="20"/>
        </w:rPr>
        <w:t>Dick's Sporting Goods holds dominant national market share with superior brand partnerships and e-commerce capabilities, and AI-enhanced shopping platforms could further erode Academy's competitive position in commodity categories [1]</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AI RESILIENCE (25%)</w:t>
            </w:r>
          </w:p>
        </w:tc>
      </w:tr>
    </w:tbl>
    <w:p>
      <w:pPr>
        <w:spacing w:before="200" w:after="40"/>
      </w:pPr>
      <w:r>
        <w:rPr>
          <w:rFonts w:ascii="Calibri" w:hAnsi="Calibri"/>
          <w:b/>
          <w:color w:val="1A2010"/>
          <w:sz w:val="22"/>
        </w:rPr>
        <w:t>AI Resilience</w:t>
      </w:r>
      <w:r>
        <w:rPr>
          <w:rFonts w:ascii="Calibri" w:hAnsi="Calibri"/>
          <w:b w:val="0"/>
          <w:color w:val="1A2010"/>
          <w:sz w:val="22"/>
        </w:rPr>
        <w:t xml:space="preserve">  </w:t>
      </w:r>
      <w:r>
        <w:rPr>
          <w:rFonts w:ascii="Calibri" w:hAnsi="Calibri"/>
          <w:b/>
          <w:color w:val="B8860B"/>
          <w:sz w:val="16"/>
        </w:rPr>
        <w:t xml:space="preserve"> MODERATE </w:t>
      </w:r>
    </w:p>
    <w:p>
      <w:pPr>
        <w:spacing w:before="0" w:after="40"/>
      </w:pPr>
      <w:r>
        <w:rPr>
          <w:rFonts w:ascii="Calibri" w:hAnsi="Calibri"/>
          <w:b/>
          <w:color w:val="16A34A"/>
          <w:sz w:val="28"/>
        </w:rPr>
        <w:t>7</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858"/>
            <w:shd w:fill="16A34A" w:val="clear"/>
          </w:tcPr>
          <w:p>
            <w:pPr>
              <w:spacing w:before="0" w:after="0"/>
            </w:pPr>
            <w:r>
              <w:rPr>
                <w:rFonts w:ascii="Calibri" w:hAnsi="Calibri"/>
                <w:b w:val="0"/>
                <w:color w:val="1A2010"/>
                <w:sz w:val="4"/>
              </w:rPr>
            </w:r>
          </w:p>
        </w:tc>
        <w:tc>
          <w:tcPr>
            <w:tcW w:type="dxa" w:w="1654"/>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AI Risk Protection (6/9): Academy's core business — physical retail stores selling sporting goods, firearms, and outdoor equipment — has moderate AI disruption protection. The in-store experience for categories like firearms (requiring FFL compliance), footwear fitting, and outdoor gear provides natural defense against pure digital substitution. However, AI-enhanced e-commerce platforms from Amazon and specialty competitors could erode market share in commodity categories (apparel, basic equipment), and industry experts warn retailers risk losing data and direct customer interaction as consumers engage with AI shopping platforms [1][3]. AI Opportunity (1/1): Academy actively deploys AI through its cross-functional AI Council, Revionics pricing optimization (decade-long partnership), invent.ai for item-level allocation and replenishment, and agent-based AI tools under CIO Sumit Anand's strategy of pursuing business value from the start [3].</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FAITH ALIGNMENT — INSPIRE INSIGHT</w:t>
            </w:r>
          </w:p>
        </w:tc>
      </w:tr>
    </w:tbl>
    <w:p>
      <w:pPr>
        <w:spacing w:after="40"/>
      </w:pPr>
      <w:r>
        <w:rPr>
          <w:rFonts w:ascii="Calibri" w:hAnsi="Calibri"/>
          <w:b w:val="0"/>
          <w:color w:val="6E8450"/>
          <w:sz w:val="22"/>
        </w:rPr>
        <w:t xml:space="preserve">Inspire Impact Score:  </w:t>
      </w:r>
      <w:r>
        <w:rPr>
          <w:rFonts w:ascii="Calibri" w:hAnsi="Calibri"/>
          <w:b/>
          <w:color w:val="16A34A"/>
          <w:sz w:val="28"/>
        </w:rPr>
        <w:t>54</w:t>
      </w:r>
      <w:r>
        <w:rPr>
          <w:rFonts w:ascii="Calibri" w:hAnsi="Calibri"/>
          <w:b/>
          <w:color w:val="B8860B"/>
          <w:sz w:val="20"/>
        </w:rPr>
        <w:t xml:space="preserve">    ALIGNED</w:t>
      </w:r>
    </w:p>
    <w:p>
      <w:pPr>
        <w:spacing w:before="80" w:after="40"/>
      </w:pPr>
      <w:r>
        <w:rPr>
          <w:rFonts w:ascii="Calibri" w:hAnsi="Calibri"/>
          <w:b/>
          <w:color w:val="6E8450"/>
          <w:sz w:val="18"/>
        </w:rPr>
        <w:t xml:space="preserve">Positive: </w:t>
      </w:r>
      <w:r>
        <w:rPr>
          <w:rFonts w:ascii="Calibri" w:hAnsi="Calibri"/>
          <w:b/>
          <w:color w:val="16A34A"/>
          <w:sz w:val="17"/>
        </w:rPr>
        <w:t xml:space="preserve"> Business Ethics </w:t>
      </w:r>
      <w:r>
        <w:rPr>
          <w:rFonts w:ascii="Calibri" w:hAnsi="Calibri"/>
          <w:b w:val="0"/>
          <w:color w:val="9DAF88"/>
          <w:sz w:val="17"/>
        </w:rPr>
        <w:t xml:space="preserve">  ·  </w:t>
      </w:r>
      <w:r>
        <w:rPr>
          <w:rFonts w:ascii="Calibri" w:hAnsi="Calibri"/>
          <w:b/>
          <w:color w:val="16A34A"/>
          <w:sz w:val="17"/>
        </w:rPr>
        <w:t xml:space="preserve"> Customer Welfare </w:t>
      </w:r>
      <w:r>
        <w:rPr>
          <w:rFonts w:ascii="Calibri" w:hAnsi="Calibri"/>
          <w:b w:val="0"/>
          <w:color w:val="9DAF88"/>
          <w:sz w:val="17"/>
        </w:rPr>
        <w:t xml:space="preserve">  ·  </w:t>
      </w:r>
      <w:r>
        <w:rPr>
          <w:rFonts w:ascii="Calibri" w:hAnsi="Calibri"/>
          <w:b/>
          <w:color w:val="16A34A"/>
          <w:sz w:val="17"/>
        </w:rPr>
        <w:t xml:space="preserve"> Employee Wellbeing </w:t>
      </w:r>
      <w:r>
        <w:rPr>
          <w:rFonts w:ascii="Calibri" w:hAnsi="Calibri"/>
          <w:b w:val="0"/>
          <w:color w:val="9DAF88"/>
          <w:sz w:val="17"/>
        </w:rPr>
        <w:t xml:space="preserve">  ·  </w:t>
      </w:r>
      <w:r>
        <w:rPr>
          <w:rFonts w:ascii="Calibri" w:hAnsi="Calibri"/>
          <w:b/>
          <w:color w:val="16A34A"/>
          <w:sz w:val="17"/>
        </w:rPr>
        <w:t xml:space="preserve"> Environmental Risk Mitigation </w:t>
      </w:r>
      <w:r>
        <w:rPr>
          <w:rFonts w:ascii="Calibri" w:hAnsi="Calibri"/>
          <w:b w:val="0"/>
          <w:color w:val="9DAF88"/>
          <w:sz w:val="17"/>
        </w:rPr>
        <w:t xml:space="preserve">  ·  </w:t>
      </w:r>
      <w:r>
        <w:rPr>
          <w:rFonts w:ascii="Calibri" w:hAnsi="Calibri"/>
          <w:b/>
          <w:color w:val="16A34A"/>
          <w:sz w:val="17"/>
        </w:rPr>
        <w:t xml:space="preserve"> Ethical Labor Practices </w:t>
      </w:r>
      <w:r>
        <w:rPr>
          <w:rFonts w:ascii="Calibri" w:hAnsi="Calibri"/>
          <w:b w:val="0"/>
          <w:color w:val="9DAF88"/>
          <w:sz w:val="17"/>
        </w:rPr>
        <w:t xml:space="preserve">  ·  </w:t>
      </w:r>
      <w:r>
        <w:rPr>
          <w:rFonts w:ascii="Calibri" w:hAnsi="Calibri"/>
          <w:b/>
          <w:color w:val="16A34A"/>
          <w:sz w:val="17"/>
        </w:rPr>
        <w:t xml:space="preserve"> Ethical Supply Chain Management </w:t>
      </w:r>
      <w:r>
        <w:rPr>
          <w:rFonts w:ascii="Calibri" w:hAnsi="Calibri"/>
          <w:b w:val="0"/>
          <w:color w:val="9DAF88"/>
          <w:sz w:val="17"/>
        </w:rPr>
        <w:t xml:space="preserve">  ·  </w:t>
      </w:r>
      <w:r>
        <w:rPr>
          <w:rFonts w:ascii="Calibri" w:hAnsi="Calibri"/>
          <w:b/>
          <w:color w:val="16A34A"/>
          <w:sz w:val="17"/>
        </w:rPr>
        <w:t xml:space="preserve"> Fair Competition </w:t>
      </w:r>
      <w:r>
        <w:rPr>
          <w:rFonts w:ascii="Calibri" w:hAnsi="Calibri"/>
          <w:b w:val="0"/>
          <w:color w:val="9DAF88"/>
          <w:sz w:val="17"/>
        </w:rPr>
        <w:t xml:space="preserve">  ·  </w:t>
      </w:r>
      <w:r>
        <w:rPr>
          <w:rFonts w:ascii="Calibri" w:hAnsi="Calibri"/>
          <w:b/>
          <w:color w:val="16A34A"/>
          <w:sz w:val="17"/>
        </w:rPr>
        <w:t xml:space="preserve"> Hiring Ethics </w:t>
      </w:r>
      <w:r>
        <w:rPr>
          <w:rFonts w:ascii="Calibri" w:hAnsi="Calibri"/>
          <w:b w:val="0"/>
          <w:color w:val="9DAF88"/>
          <w:sz w:val="17"/>
        </w:rPr>
        <w:t xml:space="preserve">  ·  </w:t>
      </w:r>
      <w:r>
        <w:rPr>
          <w:rFonts w:ascii="Calibri" w:hAnsi="Calibri"/>
          <w:b/>
          <w:color w:val="16A34A"/>
          <w:sz w:val="17"/>
        </w:rPr>
        <w:t xml:space="preserve"> Low Ecological Impact </w:t>
      </w:r>
      <w:r>
        <w:rPr>
          <w:rFonts w:ascii="Calibri" w:hAnsi="Calibri"/>
          <w:b w:val="0"/>
          <w:color w:val="9DAF88"/>
          <w:sz w:val="17"/>
        </w:rPr>
        <w:t xml:space="preserve">  ·  </w:t>
      </w:r>
      <w:r>
        <w:rPr>
          <w:rFonts w:ascii="Calibri" w:hAnsi="Calibri"/>
          <w:b/>
          <w:color w:val="16A34A"/>
          <w:sz w:val="17"/>
        </w:rPr>
        <w:t xml:space="preserve"> Materials Efficiency </w:t>
      </w:r>
      <w:r>
        <w:rPr>
          <w:rFonts w:ascii="Calibri" w:hAnsi="Calibri"/>
          <w:b w:val="0"/>
          <w:color w:val="9DAF88"/>
          <w:sz w:val="17"/>
        </w:rPr>
        <w:t xml:space="preserve">  ·  </w:t>
      </w:r>
      <w:r>
        <w:rPr>
          <w:rFonts w:ascii="Calibri" w:hAnsi="Calibri"/>
          <w:b/>
          <w:color w:val="16A34A"/>
          <w:sz w:val="17"/>
        </w:rPr>
        <w:t xml:space="preserve"> Product Access and Affordability </w:t>
      </w:r>
      <w:r>
        <w:rPr>
          <w:rFonts w:ascii="Calibri" w:hAnsi="Calibri"/>
          <w:b w:val="0"/>
          <w:color w:val="9DAF88"/>
          <w:sz w:val="17"/>
        </w:rPr>
        <w:t xml:space="preserve">  ·  </w:t>
      </w:r>
      <w:r>
        <w:rPr>
          <w:rFonts w:ascii="Calibri" w:hAnsi="Calibri"/>
          <w:b/>
          <w:color w:val="16A34A"/>
          <w:sz w:val="17"/>
        </w:rPr>
        <w:t xml:space="preserve"> Product Sustainability </w:t>
      </w:r>
      <w:r>
        <w:rPr>
          <w:rFonts w:ascii="Calibri" w:hAnsi="Calibri"/>
          <w:b w:val="0"/>
          <w:color w:val="9DAF88"/>
          <w:sz w:val="17"/>
        </w:rPr>
        <w:t xml:space="preserve">  ·  </w:t>
      </w:r>
      <w:r>
        <w:rPr>
          <w:rFonts w:ascii="Calibri" w:hAnsi="Calibri"/>
          <w:b/>
          <w:color w:val="16A34A"/>
          <w:sz w:val="17"/>
        </w:rPr>
        <w:t xml:space="preserve"> Regulatory Adherence </w:t>
      </w:r>
      <w:r>
        <w:rPr>
          <w:rFonts w:ascii="Calibri" w:hAnsi="Calibri"/>
          <w:b w:val="0"/>
          <w:color w:val="9DAF88"/>
          <w:sz w:val="17"/>
        </w:rPr>
        <w:t xml:space="preserve">  ·  </w:t>
      </w:r>
      <w:r>
        <w:rPr>
          <w:rFonts w:ascii="Calibri" w:hAnsi="Calibri"/>
          <w:b/>
          <w:color w:val="16A34A"/>
          <w:sz w:val="17"/>
        </w:rPr>
        <w:t xml:space="preserve"> Waste and Hazmat Management </w:t>
      </w:r>
      <w:r>
        <w:rPr>
          <w:rFonts w:ascii="Calibri" w:hAnsi="Calibri"/>
          <w:b w:val="0"/>
          <w:color w:val="9DAF88"/>
          <w:sz w:val="17"/>
        </w:rPr>
        <w:t xml:space="preserve">  ·  </w:t>
      </w:r>
      <w:r>
        <w:rPr>
          <w:rFonts w:ascii="Calibri" w:hAnsi="Calibri"/>
          <w:b/>
          <w:color w:val="16A34A"/>
          <w:sz w:val="17"/>
        </w:rPr>
        <w:t xml:space="preserve"> Water Conservation </w:t>
      </w:r>
    </w:p>
    <w:p>
      <w:pPr>
        <w:spacing w:before="120"/>
      </w:pPr>
      <w:r>
        <w:rPr>
          <w:rFonts w:ascii="Calibri" w:hAnsi="Calibri"/>
          <w:b w:val="0"/>
          <w:color w:val="9DAF88"/>
          <w:sz w:val="15"/>
        </w:rPr>
        <w:t>Source: Inspire Insight</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RESOURCES</w:t>
            </w:r>
          </w:p>
        </w:tc>
      </w:tr>
    </w:tbl>
    <w:p>
      <w:pPr>
        <w:spacing w:before="20" w:after="20"/>
        <w:ind w:left="170"/>
      </w:pPr>
      <w:r>
        <w:rPr>
          <w:rFonts w:ascii="Calibri" w:hAnsi="Calibri"/>
          <w:b/>
          <w:color w:val="4A6B25"/>
          <w:sz w:val="15"/>
        </w:rPr>
        <w:t xml:space="preserve">1. </w:t>
      </w:r>
      <w:r>
        <w:rPr>
          <w:rFonts w:ascii="Calibri" w:hAnsi="Calibri"/>
          <w:b w:val="0"/>
          <w:color w:val="3A4A28"/>
          <w:sz w:val="17"/>
        </w:rPr>
        <w:t>Academy Sports and Outdoors Q1 FY2027 Earnings Release — revenue $1.44B up 6.7%, comp sales +2.9%, adj EPS $0.93 up 22.4%, outdoor merchandise +11.7%, May 2026</w:t>
      </w:r>
    </w:p>
    <w:p>
      <w:pPr>
        <w:spacing w:before="20" w:after="20"/>
        <w:ind w:left="170"/>
      </w:pPr>
      <w:r>
        <w:rPr>
          <w:rFonts w:ascii="Calibri" w:hAnsi="Calibri"/>
          <w:b/>
          <w:color w:val="4A6B25"/>
          <w:sz w:val="15"/>
        </w:rPr>
        <w:t xml:space="preserve">2. </w:t>
      </w:r>
      <w:r>
        <w:rPr>
          <w:rFonts w:ascii="Calibri" w:hAnsi="Calibri"/>
          <w:b w:val="0"/>
          <w:color w:val="3A4A28"/>
          <w:sz w:val="17"/>
        </w:rPr>
        <w:t>Academy Sports Q2 FY2027 Earnings — revenue $1.6B up 3.3%, net income $125.4M down 12%, gross margin down 71bps, ainvest.com / Yahoo Finance, July 2026</w:t>
      </w:r>
    </w:p>
    <w:p>
      <w:pPr>
        <w:spacing w:before="20" w:after="20"/>
        <w:ind w:left="170"/>
      </w:pPr>
      <w:r>
        <w:rPr>
          <w:rFonts w:ascii="Calibri" w:hAnsi="Calibri"/>
          <w:b/>
          <w:color w:val="4A6B25"/>
          <w:sz w:val="15"/>
        </w:rPr>
        <w:t xml:space="preserve">3. </w:t>
      </w:r>
      <w:r>
        <w:rPr>
          <w:rFonts w:ascii="Calibri" w:hAnsi="Calibri"/>
          <w:b w:val="0"/>
          <w:color w:val="3A4A28"/>
          <w:sz w:val="17"/>
        </w:rPr>
        <w:t>CIO.com / Heller Report — Academy Sports AI strategy under CIO Sumit Anand, AI Council, Revionics pricing optimization, invent.ai allocation, agent-based tools, 2025-2026</w:t>
      </w:r>
    </w:p>
    <w:p>
      <w:pPr>
        <w:spacing w:before="20" w:after="20"/>
        <w:ind w:left="170"/>
      </w:pPr>
      <w:r>
        <w:rPr>
          <w:rFonts w:ascii="Calibri" w:hAnsi="Calibri"/>
          <w:b/>
          <w:color w:val="4A6B25"/>
          <w:sz w:val="15"/>
        </w:rPr>
        <w:t xml:space="preserve">4. </w:t>
      </w:r>
      <w:r>
        <w:rPr>
          <w:rFonts w:ascii="Calibri" w:hAnsi="Calibri"/>
          <w:b w:val="0"/>
          <w:color w:val="3A4A28"/>
          <w:sz w:val="17"/>
        </w:rPr>
        <w:t>Comparably / Glassdoor — Academy Sports leadership rated D- (bottom 10% of 10K+ companies), culture 3.0/5, career 2.9/5, rolling layoffs cited, accessed July 2026</w:t>
      </w:r>
    </w:p>
    <w:p>
      <w:pPr>
        <w:spacing w:before="20" w:after="20"/>
        <w:ind w:left="170"/>
      </w:pPr>
      <w:r>
        <w:rPr>
          <w:rFonts w:ascii="Calibri" w:hAnsi="Calibri"/>
          <w:b/>
          <w:color w:val="4A6B25"/>
          <w:sz w:val="15"/>
        </w:rPr>
        <w:t xml:space="preserve">5. </w:t>
      </w:r>
      <w:r>
        <w:rPr>
          <w:rFonts w:ascii="Calibri" w:hAnsi="Calibri"/>
          <w:b w:val="0"/>
          <w:color w:val="3A4A28"/>
          <w:sz w:val="17"/>
        </w:rPr>
        <w:t>StockAnalysis.com / Gurufocus — ASO key statistics: forward PE 8.56, PEG 0.92, D/E 0.87, revenue $6.05B FY2026, 5yr CAGR 1.25%, ROE 18%, accessed July 2026</w:t>
      </w:r>
    </w:p>
    <w:p>
      <w:pPr>
        <w:spacing w:before="400"/>
        <w:jc w:val="center"/>
      </w:pPr>
      <w:r>
        <w:rPr>
          <w:rFonts w:ascii="Calibri" w:hAnsi="Calibri"/>
          <w:b w:val="0"/>
          <w:color w:val="9DAF88"/>
          <w:sz w:val="16"/>
        </w:rPr>
        <w:t>Paradiem, LLC dba Intentional Ownership (“IOWN”) is a registered investment advisor. The information provided is for educational and informational purposes only and does not constitute investment advice.</w:t>
      </w:r>
    </w:p>
    <w:sectPr w:rsidR="00FC693F" w:rsidRPr="0006063C" w:rsidSect="00034616">
      <w:pgSz w:w="12240" w:h="15840"/>
      <w:pgMar w:top="720" w:right="720" w:bottom="720" w:left="72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