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AVAV</w:t>
      </w:r>
      <w:r>
        <w:rPr>
          <w:rFonts w:ascii="Calibri" w:hAnsi="Calibri"/>
          <w:b/>
          <w:color w:val="1A2010"/>
          <w:sz w:val="40"/>
        </w:rPr>
        <w:t xml:space="preserve">  AeroVironment, Inc.</w:t>
      </w:r>
    </w:p>
    <w:p>
      <w:pPr>
        <w:spacing w:after="120"/>
      </w:pPr>
      <w:r>
        <w:rPr>
          <w:rFonts w:ascii="Calibri" w:hAnsi="Calibri"/>
          <w:b/>
          <w:color w:val="6E8450"/>
          <w:sz w:val="18"/>
        </w:rPr>
        <w:t>GROWTH SLEEVE · 2026-07-20 · Inspire: 45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NASDAQ · United States</w:t>
      </w:r>
    </w:p>
    <w:p>
      <w:pPr>
        <w:spacing w:after="80"/>
      </w:pPr>
      <w:r>
        <w:rPr>
          <w:rFonts w:ascii="Calibri" w:hAnsi="Calibri"/>
          <w:b w:val="0"/>
          <w:color w:val="3A4A28"/>
          <w:sz w:val="20"/>
        </w:rPr>
        <w:t>AeroVironment designs, develops, produces, and supports robotic systems and defense technology for military and commercial applications. The company operates in Autonomous Systems (small/medium UAS, loitering munitions including Switchblade 300/600, counter-UAS systems) and Space, Cyber and Directed Energy (digital beamforming, laser communications, phased array antennas) following the BlueHalo integration. Products include the Switchblade precision strike system battle-proven in Ukraine, Puma and Raven small UAS, JUMP 20 medium UAS, and the AI-powered AV_Halo command and control platform. Founded in 1971, headquartered in Arlington, Virginia.</w:t>
      </w:r>
    </w:p>
    <w:p>
      <w:r>
        <w:rPr>
          <w:rFonts w:ascii="Calibri" w:hAnsi="Calibri"/>
          <w:b/>
          <w:color w:val="6E8450"/>
          <w:sz w:val="18"/>
        </w:rPr>
        <w:t>4,091 Employees · https://www.avinc.com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AeroVironment has transformed from a small UAS niche player into a $2B full-spectrum defense robotics platform under CEO Nawabi (since 2016), driving eightfold revenue growth through multiple successful product launches — Switchblade 600 (new loitering munition category), AV_Halo AI platform — the transformative BlueHalo acquisition, and combat-proven performance across 50+ allied nations in Ukraine [1][2]. This is one of the most dramatic business transformations in the defense industry. AI Deployment (1/2): AV_Halo is an AI-powered modular command and control platform deployed to warfighters, and HaloCortex OSINT provides AI-powered intelligence analysis for DoD and commercial customers [3]. However, specific AI-attributed revenue figures have not been quantified separately from overall product sales. Market Share (2/2): AeroVironment dominates the small UAS and tactical loitering munition markets with Switchblade as the definitive precision strike system for modern warfare, deployed to 50+ allied nations. Record FY2026 revenue of $1.98B and $1.2B funded backlog confirm category leadership [1]. Product Pipeline (2/2): FY2027 guidance of $2.125-2.225B provides specific revenue visibility, backed by $1.2B funded backlog, $1.5B unfunded backlog, and ongoing next-gen programs across Switchblade variants, JUMP 20, directed energy, and space systems [1]. R&amp;D Intensity (0/1): Innovation spending of 12-13% of revenue is significant in absolute terms, but defense R&amp;D accounting embeds customer-funded development within contracts, making comparison to pure-tech R&amp;D intensity imprecise.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AeroVironment's purpose — protecting warfighters and enabling mission success through innovative unmanned systems and defense technology — is specific, thoughtful, and clearly shapes strategic decisions. CEO Nawabi's articulation of 'delivering mission-critical solutions at the speed of relevance' connects the company's work to a larger purpose of saving lives through technological innovation [3]. The company was founded in 1971 and the mission has been validated through 55 years of defense cycles and multiple leadership transitions. Community Impact (1/2): AeroVironment publishes annual CSR reports detailing environmental management, trade compliance, and anti-corruption programs, with Sustainalytics rating its ESG risk management as Strong [4]. However, specific charitable foundation programs or community investment dollar amounts were not identified for this defense-focused organization. Employee Retention (1/2): Company culture is described as 'engaging, purpose-driven' with strengths in innovation and collaboration, but challenges with 'shifting priorities, managerial consistency, and workload strain' reflect growing pains from scaling 4,091 employees through a period of eightfold revenue growth and major acquisition integration [3]. Insider Buying (1/2): CEO Nawabi and senior leadership have maintained significant equity exposure through the stock's volatile journey from $135 to $418 and back to $141. Nawabi's 10-year tenure and Chairman role signal long-term conviction, though specific voluntary open-market purchase data was not identified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AeroVironment delivered record FY2026 revenue of $1,976.8M (up 141% YoY, ~30% organic) with Q4 revenue of $641.6M and adjusted EBITDA of $286M (14% full-year margin, 22% Q4 margin) [1]. FY2027 guidance of $2.125-2.225B with EBITDA of $305-325M implies continued growth and margin expansion. However, GAAP profitability remains negative: net loss of -$265M yields ROE of -10.0% and profit margin of -14.3%, driven by BlueHalo acquisition amortization and integration charges that the non-GAAP metrics exclude [2]. D/E of 16.6% is exceptionally conservative for a defense company — nearly debt-free balance sheet [2]. Forward P/E of 43.8 (on non-GAAP FY2027 EPS guidance of $3.18 midpoint) reflects premium valuation for a defense company. Revenue 5yr CAGR of approximately 38% is extraordinary though heavily acquisition-driven. Liquidity floor cleared: avg volume x $141 &gt;&gt; $1M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AeroVironment under CEO Nawabi demonstrates strong infinite game characteristics — the company has fundamentally reinvented itself multiple times over its 55-year history (solar aircraft to military drones to loitering munitions to full-spectrum defense platform), consistently investing in long-term capabilities through market uncertainty. The BlueHalo acquisition, 12-13% innovation spending, and willingness to accept GAAP losses during integration all prioritize future capability over current earnings. The mission of protecting warfighters through technological innovation has been validated through decades of execution and Switchblade's combat performance in Ukraine.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AeroVironment's cause — protecting warfighters by innovating unmanned systems that save lives and enable mission success — is distinctive and has been validated by 55 years of continuous operation and Switchblade's combat-proven performance in Ukraine, where the technology demonstrably changed warfare doctrine [1][3]. The company was founded in 1971 by Paul MacCready (pioneer of human-powered flight) and the mission has survived multiple leadership transitions while CEO Nawabi's strategic reinvention since 2016 added transformative depth. However, as a defense contractor, the purpose is ultimately tied to government procurement cycles rather than being purely idealistic.</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AeroVironment's culture is described as 'engaging and purpose-driven' with strengths in innovation and collaboration, though growing pains from rapid scaling (eightfold revenue growth, 4,091 employees post-BlueHalo) have created challenges with shifting priorities, managerial consistency, and workload strain [3]. Recent leadership appointments (new CFO, COO in April 2026) suggest organizational evolution but also potential instability. CEO Nawabi's 10-year tenure provides senior leadership stability.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AeroVironment competes against L3Harris, Northrop Grumman, Kratos Defense, and emerging competitors in UAS, loitering munitions, and directed energy [3]. The company's strategic acquisitions (BlueHalo for space/directed energy, Tomahawk Robotics for AI control, Arcturus for medium UAS) demonstrate awareness of rivals' capabilities and willingness to acquire strengths rather than assuming internal superiority. This 'buy the best, build the best' approach reflects an infinite competitive mindset focused on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AeroVironment has executed one of the most dramatic transformations in defense history — from solar-powered aircraft research (founded 1971) to small reconnaissance UAS to precision strike loitering munitions to a $2B multi-domain defense robotics platform through the BlueHalo acquisition [1][3]. The expansion from Puma/Raven reconnaissance into Switchblade (creating an entirely new weapons category), then into space, cyber, and directed energy represents a fundamental reinvention of the company's identity and capabilities, driven consistently by the mission of protecting warfighters.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CEO Nawabi has demonstrated a pattern of costly long-term bets. He invested in Switchblade production capacity before Ukraine created massive demand — a proactive bet on a weapons category that didn't yet have a market [1]. The BlueHalo acquisition more than doubled the company, accepting GAAP losses during integration to build long-term capability across space, cyber, and directed energy. Consistently spending 12-13% of revenue on innovation — well above defense industry norms — prioritizes future strength over current earnings. Acquiring Tomahawk Robotics for AI control capabilities invested in technology before it matured [3]. Each decision prioritized long-term capability over near-term financial appearance.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AeroVironment delivered record FY2026 results — $1,976.8M revenue (up 141% YoY, ~30% organic), $641.6M Q4 revenue, and $286M adjusted EBITDA (14% full-year margin expanding to 22% in Q4) — beating the high end of its own $1.85-$1.95B guidance [1]. FY2027 guidance of $2.125-2.225B with EBITDA of $305-325M implies continued growth and margin expansion as BlueHalo integration synergies materialize. Funded backlog of $1.2B (up 65% YoY) and $1.5B unfunded provide exceptional multi-year visibility [1]. CEO Nawabi has driven eightfold revenue growth since 2016, building the dominant defense robotics platform with Switchblade battle-proven across 50+ allied nations. D/E of just 16.6% provides balance sheet flexibility. At $141 (down 66% from $418 52-week high), the stock trades at 43.8x forward non-GAAP EPS, offering potential for multiple expansion as GAAP profitability normalizes [2].</w:t>
      </w:r>
    </w:p>
    <w:p>
      <w:pPr>
        <w:spacing w:after="120"/>
      </w:pPr>
      <w:r>
        <w:rPr>
          <w:rFonts w:ascii="Calibri" w:hAnsi="Calibri"/>
          <w:b w:val="0"/>
          <w:color w:val="3A4A28"/>
          <w:sz w:val="20"/>
        </w:rPr>
        <w:t>The bear case centers on valuation normalization and execution risk during rapid scaling. Forward P/E of 43.8x on non-GAAP estimates is a premium valuation for a defense contractor, and the 66% decline from the $418 high suggests the market is already repricing growth expectations [2]. GAAP profitability remains deeply negative (net loss -$265M, profit margin -14.3%, ROE -10%) due to BlueHalo acquisition amortization and integration charges — adjusted metrics paint a better picture but GAAP losses are real and extend the timeline for meaningful free cash flow generation [2]. Revenue growth of 141% is dominated by the BlueHalo acquisition; organic growth of ~30% is strong but must be sustained to justify the multiple. Defense spending is subject to political cycles, and policy shifts toward reduced military engagement could slow order growth. Scaling from $820M to $1.98B (and guiding $2.2B) in two years creates manufacturing, supply chain, and quality control execution risk for life-safety defense products. The SCAR program termination demonstrates government contract cancellation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FY2027 revenue guidance of $2.125-2.225B with EBITDA expanding to $305-325M (15% margin) implies continued growth and profitability inflection as BlueHalo integration costs normalize and production scales [1]</w:t>
      </w:r>
    </w:p>
    <w:p>
      <w:pPr>
        <w:spacing w:before="40" w:after="40"/>
        <w:ind w:left="283"/>
      </w:pPr>
      <w:r>
        <w:rPr>
          <w:rFonts w:ascii="Calibri" w:hAnsi="Calibri"/>
          <w:b/>
          <w:color w:val="4A6B25"/>
          <w:sz w:val="20"/>
        </w:rPr>
        <w:t xml:space="preserve">2. </w:t>
      </w:r>
      <w:r>
        <w:rPr>
          <w:rFonts w:ascii="Calibri" w:hAnsi="Calibri"/>
          <w:b w:val="0"/>
          <w:color w:val="3A4A28"/>
          <w:sz w:val="20"/>
        </w:rPr>
        <w:t>Funded backlog of $1.2B (up 65% YoY) with TTM book-to-bill of 1.24x provides multi-year revenue visibility from US DoD, NATO allies, and 50+ Switchblade customer nations [1]</w:t>
      </w:r>
    </w:p>
    <w:p>
      <w:pPr>
        <w:spacing w:before="40" w:after="40"/>
        <w:ind w:left="283"/>
      </w:pPr>
      <w:r>
        <w:rPr>
          <w:rFonts w:ascii="Calibri" w:hAnsi="Calibri"/>
          <w:b/>
          <w:color w:val="4A6B25"/>
          <w:sz w:val="20"/>
        </w:rPr>
        <w:t xml:space="preserve">3. </w:t>
      </w:r>
      <w:r>
        <w:rPr>
          <w:rFonts w:ascii="Calibri" w:hAnsi="Calibri"/>
          <w:b w:val="0"/>
          <w:color w:val="3A4A28"/>
          <w:sz w:val="20"/>
        </w:rPr>
        <w:t>GAAP profitability normalization expected as acquisition amortization tapers, potentially re-rating the stock from forward PE compression — non-GAAP EPS of $3.02-$3.34 in FY2027 provides a clear earnings path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forward P/E of 43.8x on non-GAAP earnings creates multiple compression risk if organic revenue growth decelerates below 25% or GAAP profitability improvement disappoints vs. non-GAAP adjustments [2]</w:t>
      </w:r>
    </w:p>
    <w:p>
      <w:pPr>
        <w:spacing w:before="40" w:after="40"/>
        <w:ind w:left="283"/>
      </w:pPr>
      <w:r>
        <w:rPr>
          <w:rFonts w:ascii="Calibri" w:hAnsi="Calibri"/>
          <w:b/>
          <w:color w:val="4A6B25"/>
          <w:sz w:val="20"/>
        </w:rPr>
        <w:t xml:space="preserve">2. </w:t>
      </w:r>
      <w:r>
        <w:rPr>
          <w:rFonts w:ascii="Calibri" w:hAnsi="Calibri"/>
          <w:b w:val="0"/>
          <w:color w:val="3A4A28"/>
          <w:sz w:val="20"/>
        </w:rPr>
        <w:t>Defense spending political risk — US DoD budget cycles, potential policy shifts toward reduced military engagement, and government contract cancellation risk (demonstrated by SCAR program termination) could slow order momentum [1]</w:t>
      </w:r>
    </w:p>
    <w:p>
      <w:pPr>
        <w:spacing w:before="40" w:after="40"/>
        <w:ind w:left="283"/>
      </w:pPr>
      <w:r>
        <w:rPr>
          <w:rFonts w:ascii="Calibri" w:hAnsi="Calibri"/>
          <w:b/>
          <w:color w:val="4A6B25"/>
          <w:sz w:val="20"/>
        </w:rPr>
        <w:t xml:space="preserve">3. </w:t>
      </w:r>
      <w:r>
        <w:rPr>
          <w:rFonts w:ascii="Calibri" w:hAnsi="Calibri"/>
          <w:b w:val="0"/>
          <w:color w:val="3A4A28"/>
          <w:sz w:val="20"/>
        </w:rPr>
        <w:t>Rapid scaling from $820M to $2B+ revenue in two years creates execution risk in manufacturing, supply chain management, and quality control for life-safety defense products, compounded by BlueHalo workforce integration across 4,091 employees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AeroVironment operates in defense robotics — a sector where AI is the core enabler, not a disruptor [1][3]. Autonomous UAS, loitering munitions, and counter-UAS systems are physical-world military hardware that AI cannot substitute; AI enhances these products through autonomous navigation, target identification, and swarm coordination. Defense procurement processes, ITAR regulations, classified programs, decades of customer relationships, and combat-proven performance records create structural barriers that AI-native startups cannot bypass. Rising geopolitical tensions (Ukraine, Taiwan, Middle East) increase demand for exactly the products AeroVironment makes. The company IS building AI infrastructure for defense. AI Opportunity (1/1): AV_Halo and HaloCortex OSINT are deployed, revenue-generating AI-powered platforms embedded in the product portfolio. AI autonomy features in Switchblade and small UAS systems contribute directly to the $1.98B revenue base. AI is a monetizable capability, not an add-on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AeroVironment FY2026 Fourth Quarter and Full Year Results — Record revenue $1,976.8M (up 141%), Q4 $641.6M, adjusted EBITDA $286M (14%), funded backlog $1.2B, FY2027 guidance $2.125-2.225B; BusinessWire, June 29, 2026</w:t>
      </w:r>
    </w:p>
    <w:p>
      <w:pPr>
        <w:spacing w:before="20" w:after="20"/>
        <w:ind w:left="170"/>
      </w:pPr>
      <w:r>
        <w:rPr>
          <w:rFonts w:ascii="Calibri" w:hAnsi="Calibri"/>
          <w:b/>
          <w:color w:val="4A6B25"/>
          <w:sz w:val="15"/>
        </w:rPr>
        <w:t xml:space="preserve">2. </w:t>
      </w:r>
      <w:r>
        <w:rPr>
          <w:rFonts w:ascii="Calibri" w:hAnsi="Calibri"/>
          <w:b w:val="0"/>
          <w:color w:val="3A4A28"/>
          <w:sz w:val="17"/>
        </w:rPr>
        <w:t>StockAnalysis / Yahoo Finance — AVAV: stock price $141, market cap $7.1B, forward PE 43.81, D/E 16.57%, ROE -10%, profit margin -14.3%, avg daily volume 1.78M, 4,091 employees;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AeroVironment Leadership and Culture — CEO Wahid Nawabi (since 2016, Chairman since 2021), eightfold revenue growth, 12-13% innovation spending, AV_Halo AI platform, BlueHalo acquisition integration; avinc.com and Built In,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AeroVironment CSR Report 2025 and Sustainalytics ESG Rating — Strong ESG risk management, $1M export compliance settlement (2019), environmental and governance framework;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TipRanks / Investing.com — AeroVironment earnings call analysis, backlog data, growth outlook, and risk assessment;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