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AVBC</w:t>
      </w:r>
      <w:r>
        <w:rPr>
          <w:rFonts w:ascii="Calibri" w:hAnsi="Calibri"/>
          <w:b/>
          <w:color w:val="1A2010"/>
          <w:sz w:val="40"/>
        </w:rPr>
        <w:t xml:space="preserve">  Avidia Bancorp, Inc.</w:t>
      </w:r>
    </w:p>
    <w:p>
      <w:pPr>
        <w:spacing w:after="120"/>
      </w:pPr>
      <w:r>
        <w:rPr>
          <w:rFonts w:ascii="Calibri" w:hAnsi="Calibri"/>
          <w:b/>
          <w:color w:val="6E8450"/>
          <w:sz w:val="18"/>
        </w:rPr>
        <w:t>GROWTH SLEEVE · 2026-08-18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Avidia Bancorp, Inc. is the holding company for Avidia Bank, a Massachusetts-chartered community bank founded in 1869 and headquartered in Hudson, MA. The bank provides consumer and commercial banking services including savings, checking, CDs, mortgages, home equity, commercial loans, HSA accounts, and payment processing services. Avidia completed its mutual-to-stock conversion and IPO in July 2025, raising capital and establishing a $11.5M charitable foundation.</w:t>
      </w:r>
    </w:p>
    <w:p>
      <w:r>
        <w:rPr>
          <w:rFonts w:ascii="Calibri" w:hAnsi="Calibri"/>
          <w:b/>
          <w:color w:val="6E8450"/>
          <w:sz w:val="18"/>
        </w:rPr>
        <w:t>250 Employees · https://www.avidiabank.com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Avidia's most significant transformation was the mutual-to-stock conversion completed in July 2025, transitioning from a 156-year-old mutual savings bank to a publicly traded holding company [1]. This was a material structural shift but follows a well-worn playbook for community bank IPOs. The bank operates several unique niche business lines (HSA accounts, payment processing) on both loan and deposit sides but has not launched transformative new products [2]. AI Deployment (0/2): No evidence of AI-powered products or quantified AI-driven cost savings. The bank's digital banking and payment processing capabilities are standard for a community bank of its size. Market Share (1/2): Avidia is a meaningful Massachusetts community bank with $2.78B in total assets and $2.3B in loans, serving customers locally, regionally, and nationally through niche business lines [1]. However, it is not a category leader in any identifiable banking segment. Pipeline (1/2): The IPO capital infusion and 20% dividend increase signal confidence in growth, with management indicating plans for commercial lending expansion and a newly authorized $30M stock repurchase program [1]. However, no specific product launches or M&amp;A timelines have been articulated. R&amp;D Intensity (0/1): Community banks do not maintain traditional R&amp;D functions.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Avidia Bank's 2024 Annual Report tagline — 'Fueled by Community. Strengthened by Innovation.' — reflects a genuine commitment to community banking with a culture of innovation and excellence in customer service [2]. For a 157-year-old community bank, this is clear and intentional, but remains interchangeable with many New England community banks. Community Impact (2/2): Avidia established the Avidia Bank Charitable Foundation in 1997, and in connection with the 2025 IPO contributed $11.5M in cash and 900,000 shares to the foundation [3]. The foundation focuses on healthcare, education, legal aid, and human services, with the 'Be a Champion for a Child' initiative supporting Boys and Girls Clubs of MetroWest. This is distinctive and well-funded community investment. Employee Retention (1/2): CEO Robert Cozzone was hired in 2023 from Rockland Trust (24-year tenure there), joined by new CFO Jonathan Nelson and EVP Barry Jensen in 2024, indicating thoughtful succession planning [2]. The 250-employee organization is small enough for direct leadership relationships, though no specific turnover data is publicly available. Insider Buying (1/2): Strong insider buying pattern in April-June 2026 — CEO Cozzone purchased ~$90K in shares, CFO Nelson $20K, director Gilles $97.5K, and officer Jensen made multiple purchases totaling ~$60K [4]. All recent transactions are purchases with no insider sales, signaling unanimous leadership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Avidia's Q2 2026 results demonstrate improving profitability with a healthier balance sheet now that post-IPO conversion costs have normalized. D/E of 61% is well within the 70% target [4]. ROE improved to 7.43% in Q2 2026, up from 5.02% in prior periods, but remains below the 15% target [1]. Revenue growth of approximately 6% reflects the bank's normalized operating trajectory. Forward P/E of 16.3x (based on $1.29 EPS consensus at $21.07 price) is below the 20x target. Profit margin of 24.1% exceeds the 20% target — Q2 net income of $7.2M on $29.9M net revenue demonstrates the bank has achieved normalized profitability [1]. NIM of 3.64% increased 3bps QoQ. ROA of 1.04% is solid for a community bank. The 20% dividend increase to $0.06/quarter and authorized $30M stock repurchase signal capital strength [1]. Liquidity floor cleared: 67,000 avg daily volume x $21.07 = $1.41M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Avidia Bank's 157-year operating history since 1869 is itself powerful evidence of infinite-game thinking — institutions that survive for over a century and a half through multiple economic crises, industry disruptions, and social transformations possess deep organizational resilience. The mutual-to-stock conversion preserved the community mission through a $11.5M charitable foundation while accessing growth capital. However, the company is early in its public company journey, and it remains to be seen whether shareholder return pressures will conflict with the community-first ethos.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Avidia's 157-year history as a community bank serving Massachusetts demonstrates a durable purpose — local banking, community support, and customer service that has persisted through two world wars, the Great Depression, multiple recessions, and the digital revolution [2][3]. The $11.5M charitable foundation funded at IPO explicitly preserved the community mission alongside the capital markets transition. However, the mission is not articulated at a level that inspires beyond standard community banking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Robert Cozzone's 24-year tenure at Rockland Trust before joining Avidia in 2023 suggests stable leadership character, and his internal promotion from COO reflects organizational trust [2]. The leadership team has been stable through the IPO conversion process, with thoughtful additions (CFO Nelson, EVP Jensen) indicating planned organizational development. With ~250 employees, the organization is small enough for direct leadership relationships. No evidence of layoffs, cultural upheaval, or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motivation to improve. The community banking space is fragmented, and Avidia's positioning language focuses on its own combination of 'strong risk management framework and a culture of innovation' rather than learning from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mutual-to-stock conversion abandoned Avidia's 156-year mutual ownership structure to access public market capital for growth — a genuine structural reinvention even if it follows an established pattern in community banking [1][3]. The bank's expansion into national niche business lines (HSA accounts, payment processing, dental practice lending) shows geographic and product flexibility beyond traditional local banking.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mutual-to-stock conversion, while structurally significant, was primarily a capital strategy decision following a well-established playbook for mutual savings bank IPOs [1]. No evidence of leadership making costly long-term bets, walking away from profitable but misaligned business, or investing counter-cyclically during downturns. The 20% dividend increase and $30M share repurchase authorization are shareholder-friendly but conventional capital deployment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Avidia Bancorp is a recently public Massachusetts community bank with 157 years of operating history and an improving financial trajectory after normalizing from one-time IPO conversion costs. Q2 2026 net income rose 20% to $7.2M ($0.39 EPS) with NIM expanding to 3.64%, ROE improving to 7.43%, and profit margin reaching 24.1% [1]. The forward P/E of 16.3x represents a discount to regional bank peers. Management raised the quarterly dividend 20% to $0.06/share and authorized a $30M stock repurchase program, signaling confidence in sustained earnings power [1]. Unanimous insider buying by CEO, CFO, directors, and officers (no insider sales) reinforces leadership conviction at current price levels [4]. The $11.5M charitable foundation and 157-year community banking heritage provide authentic ESG alignment, while niche business lines in HSA accounts, payment processing, and specialty lending differentiate from commodity community banking [2][3].</w:t>
      </w:r>
    </w:p>
    <w:p>
      <w:pPr>
        <w:spacing w:after="120"/>
      </w:pPr>
      <w:r>
        <w:rPr>
          <w:rFonts w:ascii="Calibri" w:hAnsi="Calibri"/>
          <w:b w:val="0"/>
          <w:color w:val="3A4A28"/>
          <w:sz w:val="20"/>
        </w:rPr>
        <w:t>The bear case centers on scale disadvantage, thin liquidity, and community bank structural challenges. At $391M market cap and 67K average daily volume, AVBC generates daily dollar volume of only $1.41M, barely clearing the IOWN liquidity floor and limiting institutional participation [4]. ROE of 7.43% is well below the 15% target and cost of equity for most investors, reflecting the inherent margin compression in community banking where large banks and fintechs compete on both rates and technology. Revenue growth of approximately 6% is modest, and the bank's 5-year revenue CAGR of 8.9% is also below the 10% target. Community banks face secular headwinds from fintech competitors automating loan origination and customer service, branch consolidation trends, and AI-driven automation at larger institutions. As a newly public company (IPO July 2025), the operating track record under public market scrutiny is limited, and it remains uncertain whether Avidia can scale earnings meaningfully while preserving its community banking culture.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Post-IPO earnings normalization driving improving profitability — Q2 2026 net income rose 20% QoQ to $7.2M with ROE of 7.43% and NIM of 3.64%, suggesting sustained earnings trajectory above pre-IPO levels [1]</w:t>
      </w:r>
    </w:p>
    <w:p>
      <w:pPr>
        <w:spacing w:before="40" w:after="40"/>
        <w:ind w:left="283"/>
      </w:pPr>
      <w:r>
        <w:rPr>
          <w:rFonts w:ascii="Calibri" w:hAnsi="Calibri"/>
          <w:b/>
          <w:color w:val="4A6B25"/>
          <w:sz w:val="20"/>
        </w:rPr>
        <w:t xml:space="preserve">2. </w:t>
      </w:r>
      <w:r>
        <w:rPr>
          <w:rFonts w:ascii="Calibri" w:hAnsi="Calibri"/>
          <w:b w:val="0"/>
          <w:color w:val="3A4A28"/>
          <w:sz w:val="20"/>
        </w:rPr>
        <w:t>Deployment of IPO capital into commercial loan growth and potential M&amp;A, with authorized $30M stock repurchase program and 20% dividend increase demonstrating capital return capacity [1]</w:t>
      </w:r>
    </w:p>
    <w:p>
      <w:pPr>
        <w:spacing w:before="40" w:after="40"/>
        <w:ind w:left="283"/>
      </w:pPr>
      <w:r>
        <w:rPr>
          <w:rFonts w:ascii="Calibri" w:hAnsi="Calibri"/>
          <w:b/>
          <w:color w:val="4A6B25"/>
          <w:sz w:val="20"/>
        </w:rPr>
        <w:t xml:space="preserve">3. </w:t>
      </w:r>
      <w:r>
        <w:rPr>
          <w:rFonts w:ascii="Calibri" w:hAnsi="Calibri"/>
          <w:b w:val="0"/>
          <w:color w:val="3A4A28"/>
          <w:sz w:val="20"/>
        </w:rPr>
        <w:t>Unanimous insider buying by CEO ($90K), CFO ($20K), director Gilles ($97.5K), and officer Jensen (~$60K) with no insider sales signals leadership confidence in near-term value creation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daily dollar volume of $1.41M barely clears the liquidity floor — any reduction in average daily volume below ~47K shares would trigger the infrastructure floor, and thin trading limits institutional participation [4]</w:t>
      </w:r>
    </w:p>
    <w:p>
      <w:pPr>
        <w:spacing w:before="40" w:after="40"/>
        <w:ind w:left="283"/>
      </w:pPr>
      <w:r>
        <w:rPr>
          <w:rFonts w:ascii="Calibri" w:hAnsi="Calibri"/>
          <w:b/>
          <w:color w:val="4A6B25"/>
          <w:sz w:val="20"/>
        </w:rPr>
        <w:t xml:space="preserve">2. </w:t>
      </w:r>
      <w:r>
        <w:rPr>
          <w:rFonts w:ascii="Calibri" w:hAnsi="Calibri"/>
          <w:b w:val="0"/>
          <w:color w:val="3A4A28"/>
          <w:sz w:val="20"/>
        </w:rPr>
        <w:t>ROE of 7.43% is well below the 15% target and cost of equity, and the bank must demonstrate ability to scale earnings through loan growth or NIM expansion in a competitive rate environment [1]</w:t>
      </w:r>
    </w:p>
    <w:p>
      <w:pPr>
        <w:spacing w:before="40" w:after="40"/>
        <w:ind w:left="283"/>
      </w:pPr>
      <w:r>
        <w:rPr>
          <w:rFonts w:ascii="Calibri" w:hAnsi="Calibri"/>
          <w:b/>
          <w:color w:val="4A6B25"/>
          <w:sz w:val="20"/>
        </w:rPr>
        <w:t xml:space="preserve">3. </w:t>
      </w:r>
      <w:r>
        <w:rPr>
          <w:rFonts w:ascii="Calibri" w:hAnsi="Calibri"/>
          <w:b w:val="0"/>
          <w:color w:val="3A4A28"/>
          <w:sz w:val="20"/>
        </w:rPr>
        <w:t>Community bank structural headwinds from fintech competition, AI-driven automation at larger institutions, and branch consolidation trends could compress long-term earnings power for sub-$5B asset banks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 involves physical branch operations, regulatory compliance (FDIC, OCC, Massachusetts state banking regulators), relationship lending with local market knowledge, and fiduciary responsibilities that AI cannot fully replace [1]. Avidia's niche business lines — HSA accounts, dental practice loans, condo association loans, municipal banking, law firm banking — require specialized underwriting knowledge and relationship management that AI augments but cannot substitute. However, AI tools from fintech competitors and large banks are automating loan origination, fraud detection, and customer service at scale, creating competitive pressure on community banks' cost structures. AI is unlikely to displace relationship banking but will compress margins in commoditized products over time. AI Opportunity (0/1): No evidence of AI-generated revenue products. Digital banking and payment processing capabilities are standard for a community bank without AI-powered differentiation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Avidia Bancorp Q1 2026 and Q2 2026 Earnings Releases (8-K filings) — Q2 net income $7.2M ($0.39 EPS), net revenue $29.9M (+6% QoQ), NIM 3.64%, ROE 7.43%, ROA 1.04%, 20% dividend increase to $0.06/quarter, $30M share repurchase authorization, total assets $2.78B, SEC filings 2026</w:t>
      </w:r>
    </w:p>
    <w:p>
      <w:pPr>
        <w:spacing w:before="20" w:after="20"/>
        <w:ind w:left="170"/>
      </w:pPr>
      <w:r>
        <w:rPr>
          <w:rFonts w:ascii="Calibri" w:hAnsi="Calibri"/>
          <w:b/>
          <w:color w:val="4A6B25"/>
          <w:sz w:val="15"/>
        </w:rPr>
        <w:t xml:space="preserve">2. </w:t>
      </w:r>
      <w:r>
        <w:rPr>
          <w:rFonts w:ascii="Calibri" w:hAnsi="Calibri"/>
          <w:b w:val="0"/>
          <w:color w:val="3A4A28"/>
          <w:sz w:val="17"/>
        </w:rPr>
        <w:t>Avidia Bank Website, 2024 Annual Report, CEO Appointment — 'Fueled by Community. Strengthened by Innovation.' tagline, Robert Cozzone CEO (from Rockland Trust), niche business lines,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Avidia Bank Charitable Foundation, Wikipedia, IPO S-1 Filing — $11.5M foundation gift, 900K shares contributed, Boys and Girls Clubs partnership, community programs,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Insider Transaction Data — stock price $21.07, PE 25.21, D/E 61%, ROE 7.43%, avg volume 67K, insider buying by CEO/CFO/directors,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