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BAC</w:t>
      </w:r>
      <w:r>
        <w:rPr>
          <w:rFonts w:ascii="Calibri" w:hAnsi="Calibri"/>
          <w:b/>
          <w:color w:val="1A2010"/>
          <w:sz w:val="40"/>
        </w:rPr>
        <w:t xml:space="preserve">  Bank of America Corporation</w:t>
      </w:r>
    </w:p>
    <w:p>
      <w:pPr>
        <w:spacing w:after="120"/>
      </w:pPr>
      <w:r>
        <w:rPr>
          <w:rFonts w:ascii="Calibri" w:hAnsi="Calibri"/>
          <w:b/>
          <w:color w:val="6E8450"/>
          <w:sz w:val="18"/>
        </w:rPr>
        <w:t>DIVIDEND SLEEVE · 2026-08-12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States</w:t>
      </w:r>
    </w:p>
    <w:p>
      <w:pPr>
        <w:spacing w:after="80"/>
      </w:pPr>
      <w:r>
        <w:rPr>
          <w:rFonts w:ascii="Calibri" w:hAnsi="Calibri"/>
          <w:b w:val="0"/>
          <w:color w:val="3A4A28"/>
          <w:sz w:val="20"/>
        </w:rPr>
        <w:t>Bank of America is the second-largest U.S. bank by assets (~$3.3T), serving individual consumers, small businesses, institutional investors, and large corporations through consumer banking, wealth management, global banking, and global markets segments. Q2 2026 delivered record results: revenue of $31.6B (+15% YoY), net income of $9.1B (+27%), and diluted EPS of $1.21 (+34%). CEO Brian Moynihan has led the bank for 16+ years under the 'Responsible Growth' framework. Market cap ~$473B.</w:t>
      </w:r>
    </w:p>
    <w:p>
      <w:r>
        <w:rPr>
          <w:rFonts w:ascii="Calibri" w:hAnsi="Calibri"/>
          <w:b/>
          <w:color w:val="6E8450"/>
          <w:sz w:val="18"/>
        </w:rPr>
        <w:t>210,000 Employees · https://www.bankofamerica.com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Bank of America has not executed a transformative business model pivot or new product launch in the last 5 years. The bank has grown existing business lines — investment banking fees up 50% YoY to $2.1B, trading revenue up 33% to $7.2B in Q2 2026 — but these represent market share gains in established categories, not innovation [1]. AI Deployment (2/2): BAC's Erica AI assistant processes 58M+ interactions per month, 90% of the bank's 210,000+ employees use Erica for Employees, and employees generate 400,000+ AI prompts daily across 300+ approved AI use cases with 'good economics' per CEO Moynihan [2]. This is one of the most scaled enterprise AI deployments in financial services, with the bank approaching AI across four pillars: agents, search/summarization, content generation, and coding/automation. Market Share (1/2): BAC is the second-largest U.S. bank by assets behind JPMorgan, with $2.02T in deposits (+2.5% YoY) and $1.22T in loans (+8%). Strong player but not the dominant leader — JPMorgan consistently outperforms on technology, investment banking, and consumer growth [1]. Product Pipeline (0/2): No next-generation products announced with specific timelines. BAC's growth trajectory depends on interest rates, credit conditions, and market activity, not product launches [1]. R&amp;D Intensity (1/1): BAC invests $3.8B+ annually in technology, holds more AI/ML patents than most financial peers, and the Erica platform with 300+ AI use cases demonstrates above-average tech investment intensity for a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BAC's purpose — 'making financial lives better through the power of every connection' under the 'Responsible Growth' framework — is clear and identifies what the bank does and for whom [2]. It's better than generic shareholder value language but doesn't articulate a transformative vision of a better future. The mission identifies a commercial purpose, not a Just Cause. Community Impact (2/2): BAC has committed $1.5 trillion to sustainable finance by 2030, operates extensive community development banking initiatives, and makes significant charitable investments in economic mobility and neighborhood development across underserved communities [3]. The $300B+ in sustainable finance already deployed and the specific dollar commitments represent significant, distinctive community investment. Employee Retention (1/2): CEO Moynihan's 16-year tenure provides exceptional leadership stability, and the bank's 210,000+ employees benefit from the 'Pathways' internal mobility program [2]. The bank maintains stable employment through economic cycles. However, no specific retention metrics (average tenure, voluntary turnover) were identified beyond leadership stability. Insider Buying (0/2): No evidence of meaningful net insider buying by executives in the last 12 months. Moynihan receives substantial equity compensation but no notable open-market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BAC's financial profile is exceptionally strong: revenue grew 15% YoY to $31.6B in Q2 2026, net income surged 27% to $9.1B, and diluted EPS of $1.21 beat the $1.12 consensus by 8% [1]. Forward P/E of 13.56 scores maximum against the 20x target. Profit margin of 27.79% exceeds the 20% target. ROE of 11.64% scores 0.78 (below the 15% target but solid for a major bank) [4]. D/E of 240.73% reflects bank leverage structure — deposits as liabilities inflate this ratio — scoring 0.26 against the 300% floor. On dividend metrics, BAC scores excellently: ~23% payout ratio (well below the 40% target), 12 consecutive years of payments since post-crisis reinstatement (2× weight), 12 consecutive years of dividend growth (1× weight), and ~10% 5-year dividend CAGR far exceeding the 6% target (2× weight) [5]. NII grew 9% to $16.2B with full-year guidance at the upper end of 6-8% [1]. Liquidity floor easily cleared: ~39M avg vol × $63.98 = $2.5B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Bank of America under Moynihan demonstrates moderate infinite game qualities through the 'Responsible Growth' framework that has delivered consistent results for over a decade, $1.5 trillion in sustainable finance commitments, and long-term shareholder return programs. Moynihan's 16-year tenure and steady leadership through multiple economic cycles show commitment to endurance over short-term optimization. However, the bank's primary orientation remains quarterly earnings delivery and regulatory compliance rather than advancing a transformative vision, and the emphasis on efficiency ratios and EPS beats suggests finite game discipline coexists alongside longer-term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BAC's 'Responsible Growth' framework and mission to 'make financial lives better' provide a credible beyond-profit purpose that has guided the bank for over a decade [2]. The $1.5 trillion sustainable finance commitment adds substance. However, 'responsible growth' is ultimately a modifier on growth — it describes how the bank grows, not what better future it is building. The purpose is commercially oriented and interchangeable with any well-managed bank. Leadership references it in strategic decisions, but it hasn't been tested through the kind of crisis that would validate it as a Just Cause (the 2008 crisis predated Moynihan's tenure).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BAC's 210,000-employee workforce benefits from Moynihan's 16-year leadership stability and the 'Pathways' internal mobility program [2]. The bank consistently ranks among top employers in financial services. 90% employee adoption of Erica for Employees suggests a tech-forward culture that empowers rather than threatens workers. However, Wall Street banking culture inherently involves high pressure, and no specific evidence of exceptional psychological safety or employee empowerment beyond standard programs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BAC's competitive language focuses on market share gains — investment banking fees up 50%, trading up 33% — positioning relative to JPMorgan and Goldman Sachs through performance metrics rather than learning from rivals' strengths [1]. While the competition drives operational improvement, management commentary does not reflect Sinek's worthy rival framework of acknowledging where competitors are genuinely superior and using that awareness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BAC has evolved from a traditional regional bank to a global financial services platform through the Merrill Lynch acquisition (2008) and NationsBank merger (1998), and has transitioned toward digital-first banking with Erica and mobile-first consumer platforms [2]. However, the fundamental business model — taking deposits, making loans, providing investment services — has not changed. The bank adapts incrementally to technology shifts but has not executed a transformative reinvention in the last decade.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Moynihan invested $3.8B+ annually in technology and committed to the AI strategy (Erica, 300+ use cases) when peers were more cautious, demonstrating conviction in long-term capability building [2]. The decision to exit the Net Zero Banking Alliance under political pressure, while pragmatic, showed willingness to adjust strategy rather than cave to ideology from either direction [3]. However, BAC rarely makes industry-first bets that sacrifice near-term earnings for long-term capability — the bank's strategy is disciplined execution within established banking, not bold reinvention.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Bank of America is executing its strongest earnings cycle in over a decade: Q2 2026 delivered revenue of $31.6B (+15% YoY), net income of $9.1B (+27%), and diluted EPS of $1.21 (+34%, beating the $1.12 consensus) [1]. Broad-based growth across all segments — NII up 9% to $16.2B, investment banking fees surging 50% to $2.1B, sales and trading up 33% to $7.2B — demonstrates the diversified franchise firing on all cylinders. Average deposits reached $2.02T (+2.5%) and loans $1.22T (+8%), showing organic balance sheet growth [1]. At 13.56x forward earnings with a well-covered ~2% dividend (23% payout ratio, 10% 5-year growth CAGR), BAC offers compelling value for a systemically important institution generating $36B+ in annualized net income. Full-year NII guidance at the upper end of 6-8% growth provides earnings visibility [1]. The AI deployment (Erica, 300+ use cases, 400,000 prompts/day) is one of the most scaled in financial services and positions BAC for continued efficiency gains [2].</w:t>
      </w:r>
    </w:p>
    <w:p>
      <w:pPr>
        <w:spacing w:after="120"/>
      </w:pPr>
      <w:r>
        <w:rPr>
          <w:rFonts w:ascii="Calibri" w:hAnsi="Calibri"/>
          <w:b w:val="0"/>
          <w:color w:val="3A4A28"/>
          <w:sz w:val="20"/>
        </w:rPr>
        <w:t>The bear case centers on cyclical sensitivity and structural growth limits. BAC's record Q2 was partly driven by exceptional market conditions — 50% IB fee growth and 33% trading gains reflect a hot capital markets cycle that is unlikely to sustain at this pace [1]. NII is sensitive to the interest rate trajectory; if the Fed cuts rates aggressively, the 6-8% NII growth guidance could compress, reversing the primary earnings driver. Consumer credit quality is normalizing from pandemic lows, and any recession would accelerate loan losses across BAC's $1.22T loan book. ROE of 11.64% remains below the 15% cost of equity for a bank of BAC's risk profile, limiting valuation re-rating potential [4]. D/E of 241% reflects structural bank leverage but also means any credit shock has amplified impact on equity. The Inspire Insight score of -67 (MISALIGNED) and ESG controversies — exit from Net Zero Banking Alliance, shareholder criticism from multiple directions — create governance complexity [3]. The $473B market cap limits upside multiples, and JPMorgan consistently outperforms on technology platform, returns, and capital markets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NII guidance at upper end of 6-8% growth ($16.2B Q2 run rate suggests $65B+ annual NII), combined with 8% loan growth and deposit stability powering sustained earnings expansion [1]</w:t>
      </w:r>
    </w:p>
    <w:p>
      <w:pPr>
        <w:spacing w:before="40" w:after="40"/>
        <w:ind w:left="283"/>
      </w:pPr>
      <w:r>
        <w:rPr>
          <w:rFonts w:ascii="Calibri" w:hAnsi="Calibri"/>
          <w:b/>
          <w:color w:val="4A6B25"/>
          <w:sz w:val="20"/>
        </w:rPr>
        <w:t xml:space="preserve">2. </w:t>
      </w:r>
      <w:r>
        <w:rPr>
          <w:rFonts w:ascii="Calibri" w:hAnsi="Calibri"/>
          <w:b w:val="0"/>
          <w:color w:val="3A4A28"/>
          <w:sz w:val="20"/>
        </w:rPr>
        <w:t>Investment banking and trading momentum (IB +50%, trading +33%) signals market share gains in global markets that could sustain through an active M&amp;A and capital markets cycle in 2026-2027 [1]</w:t>
      </w:r>
    </w:p>
    <w:p>
      <w:pPr>
        <w:spacing w:before="40" w:after="40"/>
        <w:ind w:left="283"/>
      </w:pPr>
      <w:r>
        <w:rPr>
          <w:rFonts w:ascii="Calibri" w:hAnsi="Calibri"/>
          <w:b/>
          <w:color w:val="4A6B25"/>
          <w:sz w:val="20"/>
        </w:rPr>
        <w:t xml:space="preserve">3. </w:t>
      </w:r>
      <w:r>
        <w:rPr>
          <w:rFonts w:ascii="Calibri" w:hAnsi="Calibri"/>
          <w:b w:val="0"/>
          <w:color w:val="3A4A28"/>
          <w:sz w:val="20"/>
        </w:rPr>
        <w:t>AI deployment maturation — 300+ approved use cases with 'good economics' and 400,000 employee prompts/day position BAC for meaningful operating leverage improvement as efficiency ratio targets sub-60%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aggressive Fed rate cuts could compress NII growth below 6% guidance, reversing the primary earnings growth driver that accounts for over half of total revenue [1]</w:t>
      </w:r>
    </w:p>
    <w:p>
      <w:pPr>
        <w:spacing w:before="40" w:after="40"/>
        <w:ind w:left="283"/>
      </w:pPr>
      <w:r>
        <w:rPr>
          <w:rFonts w:ascii="Calibri" w:hAnsi="Calibri"/>
          <w:b/>
          <w:color w:val="4A6B25"/>
          <w:sz w:val="20"/>
        </w:rPr>
        <w:t xml:space="preserve">2. </w:t>
      </w:r>
      <w:r>
        <w:rPr>
          <w:rFonts w:ascii="Calibri" w:hAnsi="Calibri"/>
          <w:b w:val="0"/>
          <w:color w:val="3A4A28"/>
          <w:sz w:val="20"/>
        </w:rPr>
        <w:t>Consumer credit normalization — delinquency rates rising from pandemic lows could require $2-3B in additional reserve builds, particularly in the $1.22T loan portfolio during any economic downturn [1]</w:t>
      </w:r>
    </w:p>
    <w:p>
      <w:pPr>
        <w:spacing w:before="40" w:after="40"/>
        <w:ind w:left="283"/>
      </w:pPr>
      <w:r>
        <w:rPr>
          <w:rFonts w:ascii="Calibri" w:hAnsi="Calibri"/>
          <w:b/>
          <w:color w:val="4A6B25"/>
          <w:sz w:val="20"/>
        </w:rPr>
        <w:t xml:space="preserve">3. </w:t>
      </w:r>
      <w:r>
        <w:rPr>
          <w:rFonts w:ascii="Calibri" w:hAnsi="Calibri"/>
          <w:b w:val="0"/>
          <w:color w:val="3A4A28"/>
          <w:sz w:val="20"/>
        </w:rPr>
        <w:t>ROE of 11.64% remains below the 15% cost of equity threshold, limiting valuation re-rating potential vs. JPMorgan (17%+ ROE) and creating structural pressure to improve capital allocation efficiency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Banking is a deeply regulated, relationship-driven business with massive structural moats — banking licenses, capital requirements, FDIC insurance, stress tests, and decades of regulatory compliance infrastructure — that AI cannot easily replicate or displace [1]. A systemically important financial institution like BAC is structurally protected from AI disruption. Fintech competitors using AI for lending, payments, and advisory face their own regulatory barriers to scaling into BAC's core franchise. No analysts have flagged AI as an existential threat to major banks; the consensus view is that AI enhances rather than disrupts large-bank operations. However, AI-powered neobanks and lending platforms could chip away at consumer banking margins over time [2]. AI Opportunity (1/1): BAC actively generates measurable value from AI: Erica processes 58M+ interactions monthly, 90% of 210,000 employees use AI daily (400,000+ prompts/day), and 300+ approved AI use cases have 'good economics' per CEO Moynihan [2]. The bank approaches AI across four pillars — agents, search/summarization, content generation, and coding — generating operational efficiency gains across all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of America Q2 2026 Earnings Release — Revenue $31.6B (+15%), Net Income $9.1B (+27%), EPS $1.21 (+34%), NII $16.2B (+9%), Investing.com/StockTitan/SEC 8-K, July 2026</w:t>
      </w:r>
    </w:p>
    <w:p>
      <w:pPr>
        <w:spacing w:before="20" w:after="20"/>
        <w:ind w:left="170"/>
      </w:pPr>
      <w:r>
        <w:rPr>
          <w:rFonts w:ascii="Calibri" w:hAnsi="Calibri"/>
          <w:b/>
          <w:color w:val="4A6B25"/>
          <w:sz w:val="15"/>
        </w:rPr>
        <w:t xml:space="preserve">2. </w:t>
      </w:r>
      <w:r>
        <w:rPr>
          <w:rFonts w:ascii="Calibri" w:hAnsi="Calibri"/>
          <w:b w:val="0"/>
          <w:color w:val="3A4A28"/>
          <w:sz w:val="17"/>
        </w:rPr>
        <w:t>Bank of America CEO Brian Moynihan — AI Strategy (Erica 58M+ interactions/month, 300+ AI use cases, 400,000 prompts/day), Leadership Commentary, Diginomica/Time/CNBC/Fortune, 2026</w:t>
      </w:r>
    </w:p>
    <w:p>
      <w:pPr>
        <w:spacing w:before="20" w:after="20"/>
        <w:ind w:left="170"/>
      </w:pPr>
      <w:r>
        <w:rPr>
          <w:rFonts w:ascii="Calibri" w:hAnsi="Calibri"/>
          <w:b/>
          <w:color w:val="4A6B25"/>
          <w:sz w:val="15"/>
        </w:rPr>
        <w:t xml:space="preserve">3. </w:t>
      </w:r>
      <w:r>
        <w:rPr>
          <w:rFonts w:ascii="Calibri" w:hAnsi="Calibri"/>
          <w:b w:val="0"/>
          <w:color w:val="3A4A28"/>
          <w:sz w:val="17"/>
        </w:rPr>
        <w:t>Bank of America ESG — Exit from Net Zero Banking Alliance, $1.5T sustainable finance commitment, shareholder meeting controversies, KnowESG/ESG News/American Banker,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GuruFocus — BAC Key Statistics: Forward P/E 13.56, D/E 240.73%, ROE 11.64%, Profit Margin 27.79%,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Bank of America Dividend History — ~$1.12-1.20 annual, ~2% yield, 12 consecutive years paid and growing since 2014 reinstatement, 10% 5yr growth CAGR,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