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BHM</w:t>
      </w:r>
      <w:r>
        <w:rPr>
          <w:rFonts w:ascii="Calibri" w:hAnsi="Calibri"/>
          <w:b/>
          <w:color w:val="1A2010"/>
          <w:sz w:val="40"/>
        </w:rPr>
        <w:t xml:space="preserve">  Bluerock Homes Trust, Inc.</w:t>
      </w:r>
    </w:p>
    <w:p>
      <w:pPr>
        <w:spacing w:after="120"/>
      </w:pPr>
      <w:r>
        <w:rPr>
          <w:rFonts w:ascii="Calibri" w:hAnsi="Calibri"/>
          <w:b/>
          <w:color w:val="6E8450"/>
          <w:sz w:val="18"/>
        </w:rPr>
        <w:t>GROWTH SLEEVE · 2026-08-21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Residential · NYSE American · United States</w:t>
      </w:r>
    </w:p>
    <w:p>
      <w:pPr>
        <w:spacing w:after="80"/>
      </w:pPr>
      <w:r>
        <w:rPr>
          <w:rFonts w:ascii="Calibri" w:hAnsi="Calibri"/>
          <w:b w:val="0"/>
          <w:color w:val="3A4A28"/>
          <w:sz w:val="20"/>
        </w:rPr>
        <w:t>Bluerock Homes Trust is an externally managed REIT that owns and operates a portfolio of institutional residential properties including single-family homes, build-to-rent communities, and other residential communities in the Sunbelt and Western United States. Formed in 2022 and externally managed by Bluerock Homes Manager, LLC, the company paid $10.5M in base management fees and $4.0M in operating expense reimbursements in 2025 [4]. Q1 2026 rental revenues rose 24% YoY to $19.7M, but net loss widened to $3.4M ($0.90/share) from $2.5M ($0.67/share) [1]. Market cap is approximately $45M with TTM revenue of $78.6M.</w:t>
      </w:r>
    </w:p>
    <w:p>
      <w:r>
        <w:rPr>
          <w:rFonts w:ascii="Calibri" w:hAnsi="Calibri"/>
          <w:b/>
          <w:color w:val="6E8450"/>
          <w:sz w:val="18"/>
        </w:rPr>
        <w:t>https://www.bluerock.com/bluerock-homes-trust/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Bluerock Homes Trust has grown its portfolio from $34M revenue in 2022 to approximately $80M run-rate in 2026 through property acquisitions and build-to-rent development in Sunbelt markets [1]. This represents steady portfolio assembly but is incremental rather than transformative — the business model of acquiring and operating residential properties is unchanged since formation. AI Deployment (0/2): No AI deployment or strategy evident. The externally managed structure outsources all operations to Bluerock Homes Manager, LLC, with no disclosed technology innovation or AI-driven efficiency gains [4]. Market Share (0/2): BHM is a micro-cap REIT with approximately $45M market cap and $78.6M TTM revenue — a commodity participant with negligible market share in the highly fragmented residential REIT sector dominated by Invitation Homes ($22B+) and American Homes 4 Rent ($14B+) [2]. Product Pipeline (0/2): No next-generation products or development pipeline disclosed beyond incremental property acquisitions. No analyst coverage provides forward visibility. R&amp;D Intensity (0/1): Not applicable — the externally managed REIT model involves no research and development activity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BHM describes its purpose as assembling 'a portfolio of infill first-ring suburban residential real estate investments in knowledge-economy and high quality of life growth markets' [4]. This is a generic, boilerplate real estate strategy statement interchangeable with dozens of residential REITs — it identifies a geographic focus but articulates no deeper purpose beyond financial returns. Community Impact (0/2): No evidence of charitable programs, foundation activity, or community investment beyond standard ESG policy disclosures (energy/water-conserving fixtures in renovated properties) [4]. Employee Retention (0/2): BHM is externally managed with no disclosed direct employees of meaningful scale — all operations run through the external manager, making retention metrics unavailable and inapplicable [4]. Insider Buying (1/2): Founder and CEO Ramin Kamfar purchased 5,707 shares at $10.97 ($62,605) in March 2026, raising direct holdings to 59,224 shares [3]. While this demonstrates personal conviction, the $62K amount is modest relative to total equity value.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10,030 shares multiplied by stock price of $10.83 equals daily dollar volume of approximately $108,625 — well below the $1,000,000 minimum threshold [2]. Infrastructure score is automatically set to 0 regardless of other metrics. For reference, the underlying metrics are deeply distressed: D/E of 152% reflects heavy leverage against a small equity base, ROE of -9.66% and profit margin of -49.38% indicate the company is significantly unprofitable on a GAAP basis, and no forward PE is available due to negative earnings [2]. The company carries $428M in debt against $170M in cash, resulting in net debt of $258M — approximately 5.7x the $45M equity market cap [2]. The dividend of $0.50/year (4.67% yield) exceeds negative earnings, raising sustainability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Bluerock Homes Trust is a quintessential finite player — a 4-year-old externally managed REIT formed to assemble a residential property portfolio with no articulated purpose beyond investment returns. The external management structure creates inherent misalignment between manager fees ($14.5M annually) and unitholder interests ($45M market cap), extracting roughly 32% of equity value annually [4]. The company's short operating history, lack of organizational culture, and absence of any Just Cause place it firmly in the finite category by Sinek's framework.</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BHM's stated purpose is to generate 'attractive risk-adjusted investment returns' through residential real estate in knowledge-economy markets [4]. This is a purely financial objective with no vision of a better future beyond shareholder returns. The focus on 'knowledge-economy markets' is a real estate strategy, not a Just Cause. The externally managed structure means the company's fundamental reason for existence is as a fee-generation vehicle for the external manager. Sinek would classify this as a textbook finite player.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As an externally managed REIT, BHM has no meaningful internal organizational culture to evaluate [4]. Operations, property management, and strategic decisions are outsourced to Bluerock Homes Manager, LLC. The board has only 2.7 years average tenure, reflecting the company's youth. The external management structure inherently creates principal-agent conflicts — the manager earns fees regardless of stock performance, and employees work for the manager rather than the REIT, creating split loyalties with no direct accountability to unitholders.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competitive self-awareness or references to learning from rivals in public communications [4]. The company positions itself against the broader residential REIT landscape without acknowledging specific worthy rivals whose strengths might reveal its own weaknesses. Competitive language focuses on market selection (Sunbelt, knowledge-economy regions) rather than self-improvement relative to peers like Invitation Homes or American Homes 4 Rent.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BHM was formed in 2022 and has been operating for only 4 years — too young to have faced a test of existential flexibility [4]. The company has not undergone any strategic pivots, maintaining the same residential REIT model since inception. The external management structure further constrains strategic flexibility, as major decisions require manager alignment and board approval.</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decisions that sacrificed short-term performance for long-term capability. The company has continued standard REIT portfolio-building through property acquisitions — this is normal business activity, not courageous strategic leadership [1]. CEO Kamfar's $62K insider purchase demonstrates personal conviction but does not constitute strategic courage in Sinek's framework [3]. Widening losses and the unchanged external management fee structure suggest leadership prioritizes continuity over difficult trade-offs for unitholder benefit.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Bluerock Homes Trust offers exposure to Sunbelt residential real estate through a portfolio of single-family homes and build-to-rent communities in high-growth knowledge-economy markets. Q1 2026 rental revenues grew 24% YoY to $19.7M, demonstrating demand for institutional-quality residential properties [1]. CEO Kamfar's $62,605 insider purchase in March 2026 signals management conviction [3], and the company's environmental sustainability initiatives align with ESG-conscious capital allocation [4]. The $0.50 annual dividend (4.67% yield) provides income while the portfolio matures. The business is structurally immune to AI disruption as physical housing cannot be displaced by software.</w:t>
      </w:r>
    </w:p>
    <w:p>
      <w:pPr>
        <w:spacing w:after="120"/>
      </w:pPr>
      <w:r>
        <w:rPr>
          <w:rFonts w:ascii="Calibri" w:hAnsi="Calibri"/>
          <w:b w:val="0"/>
          <w:color w:val="3A4A28"/>
          <w:sz w:val="20"/>
        </w:rPr>
        <w:t>The bear case is severe and multi-dimensional. BHM is a micro-cap ($45M market cap) externally managed REIT with critical structural problems: average daily volume of only ~10,000 shares creates extreme illiquidity, making it nearly impossible to build or exit meaningful positions — daily dollar volume of $108K is 10x below the $1M IOWN minimum threshold [2]. The external management structure extracts $14.5M annually ($10.5M base fees + $4.0M reimbursements) from a $45M market cap entity — approximately 32% of equity value annually [4]. Financial performance is deteriorating: net loss widened to $3.4M in Q1 2026 from $2.5M YoY, ROE is -9.66%, and profit margin is -49.38% [1][2]. Net debt of $258M ($428M debt minus $170M cash) represents approximately 5.7x the equity market cap, creating extreme leverage risk if property values decline [2]. No analysts cover the stock, and the 4-year operating history provides no track record through a real estate downturn. The Inspire Impact Score of 0 (MIXED) provides no faith-alignment differentiation.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Rental revenue growth of 24% YoY in Q1 2026 driven by portfolio expansion and rent growth in Sunbelt markets — continued property acquisitions could accelerate revenue toward breakeven if operating leverage emerges [1]</w:t>
      </w:r>
    </w:p>
    <w:p>
      <w:pPr>
        <w:spacing w:before="40" w:after="40"/>
        <w:ind w:left="283"/>
      </w:pPr>
      <w:r>
        <w:rPr>
          <w:rFonts w:ascii="Calibri" w:hAnsi="Calibri"/>
          <w:b/>
          <w:color w:val="4A6B25"/>
          <w:sz w:val="20"/>
        </w:rPr>
        <w:t xml:space="preserve">2. </w:t>
      </w:r>
      <w:r>
        <w:rPr>
          <w:rFonts w:ascii="Calibri" w:hAnsi="Calibri"/>
          <w:b w:val="0"/>
          <w:color w:val="3A4A28"/>
          <w:sz w:val="20"/>
        </w:rPr>
        <w:t>Potential internalization of management structure would eliminate the $14.5M annual fee burden and improve alignment between management and unitholders — a catalyst frequently seen in externally managed REIT transitions [4]</w:t>
      </w:r>
    </w:p>
    <w:p>
      <w:pPr>
        <w:spacing w:before="40" w:after="40"/>
        <w:ind w:left="283"/>
      </w:pPr>
      <w:r>
        <w:rPr>
          <w:rFonts w:ascii="Calibri" w:hAnsi="Calibri"/>
          <w:b/>
          <w:color w:val="4A6B25"/>
          <w:sz w:val="20"/>
        </w:rPr>
        <w:t xml:space="preserve">3. </w:t>
      </w:r>
      <w:r>
        <w:rPr>
          <w:rFonts w:ascii="Calibri" w:hAnsi="Calibri"/>
          <w:b w:val="0"/>
          <w:color w:val="3A4A28"/>
          <w:sz w:val="20"/>
        </w:rPr>
        <w:t>Build-to-rent community completions in knowledge-economy markets could drive NOI growth as new properties reach stabilized occupancy and contribute to positive cash flow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with average daily volume of ~10,000 shares and $108K daily dollar volume — positions cannot be entered or exited without significant price impact, making the stock untradeable for institutional investors and disqualifying under IOWN's liquidity floor [2]</w:t>
      </w:r>
    </w:p>
    <w:p>
      <w:pPr>
        <w:spacing w:before="40" w:after="40"/>
        <w:ind w:left="283"/>
      </w:pPr>
      <w:r>
        <w:rPr>
          <w:rFonts w:ascii="Calibri" w:hAnsi="Calibri"/>
          <w:b/>
          <w:color w:val="4A6B25"/>
          <w:sz w:val="20"/>
        </w:rPr>
        <w:t xml:space="preserve">2. </w:t>
      </w:r>
      <w:r>
        <w:rPr>
          <w:rFonts w:ascii="Calibri" w:hAnsi="Calibri"/>
          <w:b w:val="0"/>
          <w:color w:val="3A4A28"/>
          <w:sz w:val="20"/>
        </w:rPr>
        <w:t>External management structure extracts $14.5M annually in fees and reimbursements from a $45M market cap entity — a 32% annual drag on equity value that structurally disadvantages unitholders relative to the manager [4]</w:t>
      </w:r>
    </w:p>
    <w:p>
      <w:pPr>
        <w:spacing w:before="40" w:after="40"/>
        <w:ind w:left="283"/>
      </w:pPr>
      <w:r>
        <w:rPr>
          <w:rFonts w:ascii="Calibri" w:hAnsi="Calibri"/>
          <w:b/>
          <w:color w:val="4A6B25"/>
          <w:sz w:val="20"/>
        </w:rPr>
        <w:t xml:space="preserve">3. </w:t>
      </w:r>
      <w:r>
        <w:rPr>
          <w:rFonts w:ascii="Calibri" w:hAnsi="Calibri"/>
          <w:b w:val="0"/>
          <w:color w:val="3A4A28"/>
          <w:sz w:val="20"/>
        </w:rPr>
        <w:t>Widening net losses ($3.4M Q1 2026 vs $2.5M prior year) despite revenue growth, combined with $258M net debt against $45M equity market cap creating extreme leverage risk in any real estate downturn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Bluerock Homes Trust's core business — owning and operating physical residential properties — is structurally immune to AI disruption. Single-family homes and build-to-rent communities require physical land, construction, and maintenance that AI cannot displace [4]. Housing demand in Sunbelt markets is driven by population growth, job formation, and lifestyle preferences independent of AI technology. AI may marginally improve property management efficiency through predictive maintenance and leasing optimization, but cannot substitute for the underlying real estate assets. No analysts have flagged AI as a risk factor for residential REITs. AI Opportunity (0/1): BHM generates no revenue from AI-related products or services. The externally managed structure means any technology adoption occurs at the manager level, and no AI-driven revenue or cost savings have been disclosed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StockTitan — Bluerock Homes Trust Q1 2026 10-Q: Rental revenues $19.7M (+24% YoY), net loss $3.4M ($0.90/share), TTM revenue $78.6M, accessed August 2026</w:t>
      </w:r>
    </w:p>
    <w:p>
      <w:pPr>
        <w:spacing w:before="20" w:after="20"/>
        <w:ind w:left="170"/>
      </w:pPr>
      <w:r>
        <w:rPr>
          <w:rFonts w:ascii="Calibri" w:hAnsi="Calibri"/>
          <w:b/>
          <w:color w:val="4A6B25"/>
          <w:sz w:val="15"/>
        </w:rPr>
        <w:t xml:space="preserve">2. </w:t>
      </w:r>
      <w:r>
        <w:rPr>
          <w:rFonts w:ascii="Calibri" w:hAnsi="Calibri"/>
          <w:b w:val="0"/>
          <w:color w:val="3A4A28"/>
          <w:sz w:val="17"/>
        </w:rPr>
        <w:t>StockAnalysis/Yahoo Finance — BHM Statistics: D/E 152%, ROE -9.66%, Profit Margin -49.38%, Market Cap ~$45M, Avg Volume ~10K, Stock Price $10.83,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StockTitan/Investing.com — CEO Ramin Kamfar purchased 5,707 BHM shares at $10.97 ($62,605), raising holdings to 59,224 shares, March 2026</w:t>
      </w:r>
    </w:p>
    <w:p>
      <w:pPr>
        <w:spacing w:before="20" w:after="20"/>
        <w:ind w:left="170"/>
      </w:pPr>
      <w:r>
        <w:rPr>
          <w:rFonts w:ascii="Calibri" w:hAnsi="Calibri"/>
          <w:b/>
          <w:color w:val="4A6B25"/>
          <w:sz w:val="15"/>
        </w:rPr>
        <w:t xml:space="preserve">4. </w:t>
      </w:r>
      <w:r>
        <w:rPr>
          <w:rFonts w:ascii="Calibri" w:hAnsi="Calibri"/>
          <w:b w:val="0"/>
          <w:color w:val="3A4A28"/>
          <w:sz w:val="17"/>
        </w:rPr>
        <w:t>Bluerock Homes Trust Investor Relations — External management structure, $10.5M base management fees, $4.0M reimbursements, ESG sustainability policy,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