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BNL</w:t>
      </w:r>
      <w:r>
        <w:rPr>
          <w:rFonts w:ascii="Calibri" w:hAnsi="Calibri"/>
          <w:b/>
          <w:color w:val="1A2010"/>
          <w:sz w:val="40"/>
        </w:rPr>
        <w:t xml:space="preserve">  Broadstone Net Lease, Inc.</w:t>
      </w:r>
    </w:p>
    <w:p>
      <w:pPr>
        <w:spacing w:after="120"/>
      </w:pPr>
      <w:r>
        <w:rPr>
          <w:rFonts w:ascii="Calibri" w:hAnsi="Calibri"/>
          <w:b/>
          <w:color w:val="6E8450"/>
          <w:sz w:val="18"/>
        </w:rPr>
        <w:t>DIVIDEND SLEEVE · 2026-07-21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Net Lease · NYSE · United States</w:t>
      </w:r>
    </w:p>
    <w:p>
      <w:pPr>
        <w:spacing w:after="80"/>
      </w:pPr>
      <w:r>
        <w:rPr>
          <w:rFonts w:ascii="Calibri" w:hAnsi="Calibri"/>
          <w:b w:val="0"/>
          <w:color w:val="3A4A28"/>
          <w:sz w:val="20"/>
        </w:rPr>
        <w:t>Broadstone Net Lease is an industrial-focused, internally managed net lease REIT that invests in, owns, and manages primarily single-tenant commercial real estate properties net leased on a long-term basis. The company owns 773 properties across 41.9 million square feet with 99.8% occupancy, with over 50% of annual base rent from industrial tenants. The company operates a disciplined acquisition and build-to-suit development strategy with a $382 million committed pipeline. CEO John Moragne was promoted internally from General Counsel (2016) through COO (2018) to CEO (2023). Headquartered in Rochester, New York.</w:t>
      </w:r>
    </w:p>
    <w:p>
      <w:r>
        <w:rPr>
          <w:rFonts w:ascii="Calibri" w:hAnsi="Calibri"/>
          <w:b/>
          <w:color w:val="6E8450"/>
          <w:sz w:val="18"/>
        </w:rPr>
        <w:t>62 Employees · https://www.broadstone.com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BNL has executed a disciplined acquisition strategy since its September 2020 IPO, investing $748.4M in 2025 and $171.9M in Q1 2026, building a 773-property portfolio with 99.8% occupancy [1]. However, the core business model is unchanged — single-tenant net lease acquisitions and build-to-suit developments with no transformative strategic pivots. AI Deployment (0/2): No AI-powered products, services, or measurable AI-driven efficiency gains reported. The company operates with a lean 62-person team focused on traditional real estate underwriting and asset management [2]. Market Share (1/2): BNL is a meaningful player in the diversified net lease space with $5.8B+ gross asset value, but trails larger peers like Realty Income ($70B+ market cap) in scale and cost-of-capital advantage [1]. The industrial focus (50%+ of rent) provides differentiation. Product Pipeline (1/2): The $382M committed build-to-suit pipeline provides strong visibility to development-driven growth, and 2026 investment guidance of $500-625M demonstrates a robust acquisition pipeline [1][2]. R&amp;D Intensity (1/1): While REITs do not report traditional R&amp;D, BNL's investment in its data-driven underwriting platform and build-to-suit development capabilities reflects appropriate sector-level innovation spending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Broadstone's stated purpose centers on being a trusted capital partner for tenants and delivering consistent value creation through disciplined real estate investment — clear but not distinctive from other net lease REITs [2]. CEO Moragne's language focuses on execution ('disciplined execution,' 'consistent value creation') rather than an inspiring cause. Community Impact (1/2): BNL publishes annual sustainability reports covering GHG emissions, energy management, and community engagement [3]. The company's industrial-focused portfolio supports manufacturing, logistics, and healthcare operations that serve communities. However, specific charitable programs or dollar amounts are not prominently reported. Employee Retention (1/2): With only 62 employees, BNL operates a lean, tight-knit organization. CEO John Moragne's journey from General Counsel (2016) through COO (2018) to CEO (2023) — a decade of internal development — is exceptional evidence of promote-from-within culture [2]. However, no specific turnover or satisfaction data is available for the broader team. Insider Buying (1/2): CEO Moragne and President Albano received stock award grants totaling approximately 260,000 shares in March 2026, demonstrating equity alignment through compensation, though these are not open-market purchases [4]. No evidence of meaningful net open-market insider buying or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D/E of 86.5% scores 0.93 at 1x weight — moderate leverage appropriate for a net lease REIT with predictable contractual cash flows [5]. ROE of 3.2% scores 0.21 at 1x weight — low on a GAAP basis due to depreciation; REITs are better measured by AFFO yield (BNL trades at 13.6x FY2026 AFFO midpoint guidance) [1]. Revenue grew 5.2% YoY to $454.1M (FY2025) with Q1 2026 lease revenues of $121.4M up 11.7% from $108.7M [1], scoring 0.84 at 1x weight. Revenue 5yr CAGR of 3.7% scores 0.58 at 1x weight — modest for a growth-through-acquisition REIT. Forward P/E of 32.3 (GAAP basis, distorted by depreciation) scores 0.69 at 1x weight [5]. Profit margin of 21.9% scores 1.0 at 1x weight. Dividend: payout ratio 78.4% (AFFO basis) scores 0.36 at 1x weight; consecutive years paid 6 scores 0.60 at 2x weight; consecutive years growth 4 scores 0.40 at 1x weight; 5yr dividend growth CAGR 3.1% scores 0.52 at 2x weight [5]. Weighted sum: 7.25 / 12 max = 6.0, rounded to 6. Liquidity floor cleared: 2.5M avg volume x $21.09 = $52.7M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Broadstone Net Lease plays a moderately infinite game — the net lease model is inherently long-term (10-20 year leases), and the company's disciplined acquisition strategy prioritizes portfolio quality over growth at any cost. CEO Moragne's decade-long internal journey from General Counsel to CEO demonstrates genuine organizational trust and long-term thinking. However, the company lacks a transformative Just Cause beyond generating consistent shareholder returns, and its short public history (IPO September 2020) limits evidence of existential flexibility or courageous leadership through true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BNL's purpose is oriented around being a reliable capital partner for tenants and generating consistent income for shareholders — functional but not inspiring [2]. CEO Moragne frames the company's strategy through 'disciplined execution,' 'consistent value creation,' and 'differentiated long-term strategy.' The net lease model is inherently long-term, but the company's articulated purpose does not describe a future state that invites sacrifice or transcends financial returns. It reads as a well-run financial enterprise, not a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Moragne's internal promotion from General Counsel (2016) through COO (2018) to CEO (March 2023) over a decade is exceptional evidence of a promote-from-within, high-trust culture [2]. With only 62 employees, the organization operates as a tight-knit team with close working relationships. The company collected 100% of base rent in Q1 2026, invested $171.9M, and added $30M to its build-to-suit pipeline — this level of execution from such a lean team suggests deep organizational trust and coordination [1]. President Ryan Albano's concurrent promotion reinforces the internal development pattern.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BNL explicitly acknowledges larger net lease peers like Realty Income and NNN REIT as benchmarks, using their scale and cost-of-capital advantages as motivation to differentiate through industrial focus and build-to-suit capabilities rather than competing on size [1][2]. Moragne has highlighted BNL's 'unique position in the net lease space' through industrial concentration, demonstrating competitive awareness that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BNL has evolved its portfolio mix since the 2020 IPO, increasing industrial exposure to over 50% of annual base rent, reducing restaurant and retail concentration through selective dispositions, and expanding its build-to-suit pipeline to $382M [1][2]. The shift from pure acquisition to development partnerships represents meaningful strategic evolution. However, these are incremental adjustments within the same net lease REIT framework, and the company's short public history limits evidence of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BNL maintained conservative leverage and selective underwriting during the 2022-2023 rate spike when many REITs paused acquisitions, then resumed investment activity as conditions improved — investing $748.4M in 2025 [1]. The 2026 guidance for $500-625M in investments and expansion of the $382M build-to-suit pipeline shows willingness to deploy capital for long-term growth [1][2]. However, the company has not faced a true existential test of leadership courage, and the decisions reflect disciplined execution rather than high-conviction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Broadstone Net Lease offers a defensible 5.8% dividend yield backed by 99.8% occupancy across 773 properties, $454M in FY2025 revenue (up 5.2%), and AFFO growth guidance of $1.53-$1.57 per share for 2026 [1]. Q1 2026 exceeded expectations with AFFO of $0.38/share (5.6% YoY growth), EPS beating consensus by 38.7%, and $171.9M deployed across acquisitions and build-to-suit developments [1]. The industrial-focused portfolio (50%+ of rent) differentiates BNL from diversified net lease peers, and the $382M build-to-suit pipeline provides development-driven growth beyond pure acquisitions. At $21.09 per share and 13.6x FY2026 AFFO midpoint, the stock trades at a reasonable valuation for a mid-cap net lease REIT with improving operational momentum. The lean 62-person team with CEO Moragne's decade-long internal tenure demonstrates efficient execution and strong organizational culture.</w:t>
      </w:r>
    </w:p>
    <w:p>
      <w:pPr>
        <w:spacing w:after="120"/>
      </w:pPr>
      <w:r>
        <w:rPr>
          <w:rFonts w:ascii="Calibri" w:hAnsi="Calibri"/>
          <w:b w:val="0"/>
          <w:color w:val="3A4A28"/>
          <w:sz w:val="20"/>
        </w:rPr>
        <w:t>The bear case centers on BNL's limited scale, modest growth trajectory, and REIT structural constraints. Revenue growth of 5.2% YoY and AFFO growth of ~5-6% trail higher-growth REIT peers, limiting total return potential beyond the dividend [1]. GAAP earnings fell 41% in FY2025 due to a large one-off loss, compressing GAAP net profit margin to 21.9% from 37.3% the prior year and inflating the GAAP P/E to 40x [5]. The 86.5% D/E ratio constrains balance sheet capacity for acquisitions, and rising interest rates would increase refinancing costs on the debt stack. GAAP ROE of 3.2% reflects the capital-intensive nature of the REIT model. The dividend growth rate of 3.1% barely keeps pace with inflation, and the dividend has only been paid for 6 years since the 2020 IPO — a short track record compared to established dividend aristocrats [5]. Competition for net lease properties from larger, better-capitalized REITs (Realty Income at $70B+ market cap) compresses cap rates and limits BNL's ability to acquire high-quality properties at attractive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Build-to-suit pipeline expansion to $382M providing development-driven growth with higher returns than traditional acquisitions, plus $500-625M in total 2026 investment guidance [1]</w:t>
      </w:r>
    </w:p>
    <w:p>
      <w:pPr>
        <w:spacing w:before="40" w:after="40"/>
        <w:ind w:left="283"/>
      </w:pPr>
      <w:r>
        <w:rPr>
          <w:rFonts w:ascii="Calibri" w:hAnsi="Calibri"/>
          <w:b/>
          <w:color w:val="4A6B25"/>
          <w:sz w:val="20"/>
        </w:rPr>
        <w:t xml:space="preserve">2. </w:t>
      </w:r>
      <w:r>
        <w:rPr>
          <w:rFonts w:ascii="Calibri" w:hAnsi="Calibri"/>
          <w:b w:val="0"/>
          <w:color w:val="3A4A28"/>
          <w:sz w:val="20"/>
        </w:rPr>
        <w:t>Industrial portfolio repositioning — over 50% of annual base rent from industrial tenants benefiting from reshoring, e-commerce logistics growth, and manufacturing expansion [1][2]</w:t>
      </w:r>
    </w:p>
    <w:p>
      <w:pPr>
        <w:spacing w:before="40" w:after="40"/>
        <w:ind w:left="283"/>
      </w:pPr>
      <w:r>
        <w:rPr>
          <w:rFonts w:ascii="Calibri" w:hAnsi="Calibri"/>
          <w:b/>
          <w:color w:val="4A6B25"/>
          <w:sz w:val="20"/>
        </w:rPr>
        <w:t xml:space="preserve">3. </w:t>
      </w:r>
      <w:r>
        <w:rPr>
          <w:rFonts w:ascii="Calibri" w:hAnsi="Calibri"/>
          <w:b w:val="0"/>
          <w:color w:val="3A4A28"/>
          <w:sz w:val="20"/>
        </w:rPr>
        <w:t>AFFO growth acceleration — Q1 2026 AFFO grew 5.6% YoY and exceeded forecasts, with same-store contractual rent escalators providing organic growth visibility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rising rates increase BNL's refinancing costs on the debt stack (D/E 86.5%) and compress property valuations, constraining acquisition and development activity [5]</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versus larger net lease REITs (Realty Income at $70B+ market cap vs BNL at ~$4.3B) limits cost of capital, competitive positioning for acquisitions, and investor visibility [1]</w:t>
      </w:r>
    </w:p>
    <w:p>
      <w:pPr>
        <w:spacing w:before="40" w:after="40"/>
        <w:ind w:left="283"/>
      </w:pPr>
      <w:r>
        <w:rPr>
          <w:rFonts w:ascii="Calibri" w:hAnsi="Calibri"/>
          <w:b/>
          <w:color w:val="4A6B25"/>
          <w:sz w:val="20"/>
        </w:rPr>
        <w:t xml:space="preserve">3. </w:t>
      </w:r>
      <w:r>
        <w:rPr>
          <w:rFonts w:ascii="Calibri" w:hAnsi="Calibri"/>
          <w:b w:val="0"/>
          <w:color w:val="3A4A28"/>
          <w:sz w:val="20"/>
        </w:rPr>
        <w:t>Tenant credit risk in a potential recession — net lease REITs depend on tenant solvency to maintain the 99.8% occupancy rate, and industrial and restaurant tenants face cyclical business pressure that could lead to lease defaults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Broadstone's core business — owning physical single-tenant commercial real estate with long-term net leases — is structurally immune to AI disruption [1]. AI cannot replace industrial warehouses, healthcare facilities, or restaurant buildings. The triple-net lease structure means tenants bear operating costs, leaving BNL as a pure real estate owner with contractual rent escalators that AI cannot displace. The 99.8% occupancy rate across 773 properties and diversified tenant base across 200+ tenants further insulate the business. AI-driven growth in e-commerce, industrial automation, and data center expansion increases demand for the industrial properties that comprise over 50% of BNL's portfolio. AI Opportunity (0/1): BNL does not generate revenue from AI products or services; it is a passive landlord collecting contractual rent with a lean 62-person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Broadstone Net Lease Q1 2026 Earnings Release — $121.4M revenue (up 11.7%), AFFO $76.9M ($0.38/share, 5.6% growth), $171.9M invested, EPS $0.24 (beat), $382M build-to-suit pipeline, April 2026</w:t>
      </w:r>
    </w:p>
    <w:p>
      <w:pPr>
        <w:spacing w:before="20" w:after="20"/>
        <w:ind w:left="170"/>
      </w:pPr>
      <w:r>
        <w:rPr>
          <w:rFonts w:ascii="Calibri" w:hAnsi="Calibri"/>
          <w:b/>
          <w:color w:val="4A6B25"/>
          <w:sz w:val="15"/>
        </w:rPr>
        <w:t xml:space="preserve">2. </w:t>
      </w:r>
      <w:r>
        <w:rPr>
          <w:rFonts w:ascii="Calibri" w:hAnsi="Calibri"/>
          <w:b w:val="0"/>
          <w:color w:val="3A4A28"/>
          <w:sz w:val="17"/>
        </w:rPr>
        <w:t>Broadstone Net Lease 2026 Business Update and Guidance — $500-625M investment guidance, AFFO $1.53-$1.57/share, CEO Moragne leadership and strategy, BusinessWire December 2025</w:t>
      </w:r>
    </w:p>
    <w:p>
      <w:pPr>
        <w:spacing w:before="20" w:after="20"/>
        <w:ind w:left="170"/>
      </w:pPr>
      <w:r>
        <w:rPr>
          <w:rFonts w:ascii="Calibri" w:hAnsi="Calibri"/>
          <w:b/>
          <w:color w:val="4A6B25"/>
          <w:sz w:val="15"/>
        </w:rPr>
        <w:t xml:space="preserve">3. </w:t>
      </w:r>
      <w:r>
        <w:rPr>
          <w:rFonts w:ascii="Calibri" w:hAnsi="Calibri"/>
          <w:b w:val="0"/>
          <w:color w:val="3A4A28"/>
          <w:sz w:val="17"/>
        </w:rPr>
        <w:t>Broadstone Net Lease ESG and Sustainability Reports — GHG emissions, energy management, community engagement, broadstone.com</w:t>
      </w:r>
    </w:p>
    <w:p>
      <w:pPr>
        <w:spacing w:before="20" w:after="20"/>
        <w:ind w:left="170"/>
      </w:pPr>
      <w:r>
        <w:rPr>
          <w:rFonts w:ascii="Calibri" w:hAnsi="Calibri"/>
          <w:b/>
          <w:color w:val="4A6B25"/>
          <w:sz w:val="15"/>
        </w:rPr>
        <w:t xml:space="preserve">4. </w:t>
      </w:r>
      <w:r>
        <w:rPr>
          <w:rFonts w:ascii="Calibri" w:hAnsi="Calibri"/>
          <w:b w:val="0"/>
          <w:color w:val="3A4A28"/>
          <w:sz w:val="17"/>
        </w:rPr>
        <w:t>Broadstone Net Lease Insider Activity — CEO Moragne and President Albano stock award grants March 2026, SEC Form 4 filings</w:t>
      </w:r>
    </w:p>
    <w:p>
      <w:pPr>
        <w:spacing w:before="20" w:after="20"/>
        <w:ind w:left="170"/>
      </w:pPr>
      <w:r>
        <w:rPr>
          <w:rFonts w:ascii="Calibri" w:hAnsi="Calibri"/>
          <w:b/>
          <w:color w:val="4A6B25"/>
          <w:sz w:val="15"/>
        </w:rPr>
        <w:t xml:space="preserve">5. </w:t>
      </w:r>
      <w:r>
        <w:rPr>
          <w:rFonts w:ascii="Calibri" w:hAnsi="Calibri"/>
          <w:b w:val="0"/>
          <w:color w:val="3A4A28"/>
          <w:sz w:val="17"/>
        </w:rPr>
        <w:t>StockAnalysis, Morningstar, Yahoo Finance — BNL Key Statistics, Forward P/E 32.25, D/E 86.5%, dividend yield 5.77%,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