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BOBS</w:t>
      </w:r>
      <w:r>
        <w:rPr>
          <w:rFonts w:ascii="Calibri" w:hAnsi="Calibri"/>
          <w:b/>
          <w:color w:val="1A2010"/>
          <w:sz w:val="40"/>
        </w:rPr>
        <w:t xml:space="preserve">  Bob's Discount Furniture, Inc.</w:t>
      </w:r>
    </w:p>
    <w:p>
      <w:pPr>
        <w:spacing w:after="120"/>
      </w:pPr>
      <w:r>
        <w:rPr>
          <w:rFonts w:ascii="Calibri" w:hAnsi="Calibri"/>
          <w:b/>
          <w:color w:val="6E8450"/>
          <w:sz w:val="18"/>
        </w:rPr>
        <w:t>GROWTH SLEEVE · 2026-07-22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Home Furnishings Retail · NYSE · United States</w:t>
      </w:r>
    </w:p>
    <w:p>
      <w:pPr>
        <w:spacing w:after="80"/>
      </w:pPr>
      <w:r>
        <w:rPr>
          <w:rFonts w:ascii="Calibri" w:hAnsi="Calibri"/>
          <w:b w:val="0"/>
          <w:color w:val="3A4A28"/>
          <w:sz w:val="20"/>
        </w:rPr>
        <w:t>Bob's Discount Furniture, Inc. is a value-oriented home furnishings retailer operating over 170 stores across the United States, offering affordable furniture, mattresses, and home accessories. The company targets middle-income consumers with its 'untouchable value' proposition and signature in-store experience including complimentary refreshments. Founded in 1991 by Bob Kaufman in Connecticut, Bob's went public on the NYSE in 2026 and plans to expand to 500+ stores by 2035.</w:t>
      </w:r>
    </w:p>
    <w:p>
      <w:r>
        <w:rPr>
          <w:rFonts w:ascii="Calibri" w:hAnsi="Calibri"/>
          <w:b/>
          <w:color w:val="6E8450"/>
          <w:sz w:val="18"/>
        </w:rPr>
        <w:t>6,000 Employees · https://www.mybobs.com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Bob's has successfully expanded from a regional New England furniture chain to a national retailer with 170+ stores, with the 2026 IPO marking a significant corporate milestone. The company introduced a smaller-format Staten Island store with enhanced tech features and a design center — an incremental format innovation [2]. AI Deployment (0/2): No AI-powered products shipping or AI-driven operational savings were identified. The company offers augmented reality on its website for furniture visualization, which is technology-enabled but not AI-driven [2]. Market Share (1/2): Bob's is gaining share in the value furniture segment, with Q1 2026 revenue up 8.5% YoY and comparable sales up 1.2% [1]. However, it remains a mid-tier player behind Ashley Furniture and IKEA in the broader market. Product Pipeline (1/2): On track to open approximately 20 new stores in 2026 focusing on Southeast expansion, with a stated target of 500+ stores by 2035 — specific growth plans with defined geography [1][2]. R&amp;D Intensity (0/1): Home furnishings retailers do not report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Bob's purpose of making quality furniture 'attainable to everyone' connects the business to accessibility and consumer value — a clear mission that differentiates from premium competitors. The culture supports continuous learning with leadership development programs, and the team aligns with founder Bob Kaufman's original vision [2]. However, the mission is not distinctive enough to qualify as a true Just Cause — any value retailer could claim a similar purpose. Community Impact (1/2): Bob's joined the EPA SmartWay Transport Partnership in 2023, reduced energy consumption by 8% despite store expansion, recycled 11,020 tons of materials in 2018, and donates furniture to local nonprofits [3]. Recognized by the Sustainable Furnishings Council and National Wildlife Federation for sustainability practices [3]. Employee Retention (0/2): No specific retention data, voluntary turnover rates, or average tenure metrics were found. Insider Buying (0/2): No evidence of insider buying was identified — the company recently IPO'd, and post-IPO lock-up dynamics may limit insider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(5-year CAGR and PEG excluded due to recent IPO). D/E of 5.3% is exceptionally low, well below the 70% target — the company carries minimal financial debt post-IPO [4]. ROE of 11.0% is below the 15% target but positive, reflecting the capital structure of a recently-public retailer [4]. Revenue growth of 8.5% in Q1 2026 and full-year guidance of 3-5% growth are below the 10% target but demonstrate steady expansion [1]. Forward P/E of 15 is below the 20 target, indicating reasonable valuation [4]. Net profit margin of 4.6% is well below the 20% target — the primary infrastructure weakness — reflecting the thin-margin nature of discount furniture retail where gross margins of 30-35% compress through heavy operating costs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Bob's Discount Furniture is a well-run value retailer with a clear purpose — making furniture attainable — but its strategic orientation is primarily finite. The company communicates in terms of store count targets (500+ by 2035), quarterly comparable sales, and revenue guidance rather than advancing a cause. CEO Bill Barton's leadership focuses on operational execution and disciplined expansion, which is effective but lacks the purpose-driven vision Sinek associates with infinite game players. As a recently public company, Bob's hasn't been tested through adversity, leadership transitions, or industry disruption.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Bob's Discount Furniture has a genuine purpose rooted in founder Bob Kaufman's vision of making quality furniture affordable to middle-income families [2]. The 'untouchable value' proposition and in-store experience (free cookies and ice cream) reflect authentic care for the customer beyond mere transaction. However, this purpose is not yet validated by decades of testing — the company recently went public and hasn't survived a major crisis or leadership transition while holding to its cause. The purpose is also more commercial strategy than aspirational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Bob's supports a continuous learning culture with leadership development programs for next-generation managers, and employees are described as a motivated, competent team aligned with the company's mission [2]. CEO Bill Barton has been in place since 2020, providing leadership continuity through the IPO process. However, no specific employee empowerment practices, psychological safety metrics, or exceptional retention data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was found. Bob's communications focus on store expansion metrics, comparable sales growth, and market share gains rather than learning from competitors [1]. No management commentary acknowledging specific rivals' strengths or using competitive dynamics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Bob's Discount Furniture has operated the same essential business model since 1991 — value-priced furniture retail through physical showrooms. The company has evolved incrementally through geographic expansion, smaller-format stores, and e-commerce capabilities, but has not made any transformative strategic pivot [2]. As a recently public company with a clear single-category focus, it hasn't faced the kind of existential challenge that tests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IPO in 2026 and simultaneously commit to opening 20+ new stores per year toward a 500-store target represents a meaningful long-term bet on the growth thesis [1]. CEO Barton's prior experience scaling California Closets provides a track record of expansion-oriented leadership. However, these are commercially rational growth decisions supported by proven unit economics, not the kind of costly, cause-driven sacrifice that Sinek highlights as true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Bob's Discount Furniture delivered Q1 2026 revenue of $578.1M (up 8.5% YoY) with comparable sales growth of 1.2%, driven by higher conversion rates and average order value [1]. The company is on track to open 20 new stores in 2026 with a long-term target of 500+ stores by 2035, up from 170+ today — a nearly 3x expansion opportunity. Full-year guidance of $2.60-2.625B revenue and $113-121M net income provides visibility [1]. The balance sheet is clean with only 5.3% D/E post-IPO, and the forward P/E of 15 is reasonable for a growing retailer. JPMorgan initiated coverage at Overweight, citing the omnichannel retail strategy, Southeast expansion opportunity, and competitive positioning in the value furniture segment [4]. The stock surged 18.8% on Q1 results, signaling institutional interest in the growth story.</w:t>
      </w:r>
    </w:p>
    <w:p>
      <w:pPr>
        <w:spacing w:after="120"/>
      </w:pPr>
      <w:r>
        <w:rPr>
          <w:rFonts w:ascii="Calibri" w:hAnsi="Calibri"/>
          <w:b w:val="0"/>
          <w:color w:val="3A4A28"/>
          <w:sz w:val="20"/>
        </w:rPr>
        <w:t>The risks are concentrated in margin pressure and macroeconomic sensitivity. Q1 2026 profit margin collapsed to 0.4% from 6.4% a year ago, despite revenue growth — a troubling sign that operating leverage is working against the company during the expansion phase [4]. The 4.6% TTM net margin is thin for a retailer, and full-year guidance implies improvement is expected but not assured. As a recently public company (IPO 2026), Bob's has limited public trading history and no track record navigating a recession as a public company. Furniture is a highly cyclical, discretionary purchase — consumer spending pullbacks would disproportionately impact the value furniture segment. Housing market weakness could reduce new-home furnishing demand. The 500-store target requires substantial capital investment, and execution risk is real given the company's need to build brand awareness in new Southeast markets where it lacks recognition. No Inspire coverage means faith-aligned investors cannot evaluate the company's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Southeast expansion into untapped markets with 20+ new stores per year offers a long runway for revenue growth — the region has high population growth and strong housing formation rates</w:t>
      </w:r>
    </w:p>
    <w:p>
      <w:pPr>
        <w:spacing w:before="40" w:after="40"/>
        <w:ind w:left="283"/>
      </w:pPr>
      <w:r>
        <w:rPr>
          <w:rFonts w:ascii="Calibri" w:hAnsi="Calibri"/>
          <w:b/>
          <w:color w:val="4A6B25"/>
          <w:sz w:val="20"/>
        </w:rPr>
        <w:t xml:space="preserve">2. </w:t>
      </w:r>
      <w:r>
        <w:rPr>
          <w:rFonts w:ascii="Calibri" w:hAnsi="Calibri"/>
          <w:b w:val="0"/>
          <w:color w:val="3A4A28"/>
          <w:sz w:val="20"/>
        </w:rPr>
        <w:t>Profit margin recovery from the Q1 2026 trough of 0.4% toward the full-year guided range of 4.3-4.6% would demonstrate operating leverage and validate the unit economics of new stores</w:t>
      </w:r>
    </w:p>
    <w:p>
      <w:pPr>
        <w:spacing w:before="40" w:after="40"/>
        <w:ind w:left="283"/>
      </w:pPr>
      <w:r>
        <w:rPr>
          <w:rFonts w:ascii="Calibri" w:hAnsi="Calibri"/>
          <w:b/>
          <w:color w:val="4A6B25"/>
          <w:sz w:val="20"/>
        </w:rPr>
        <w:t xml:space="preserve">3. </w:t>
      </w:r>
      <w:r>
        <w:rPr>
          <w:rFonts w:ascii="Calibri" w:hAnsi="Calibri"/>
          <w:b w:val="0"/>
          <w:color w:val="3A4A28"/>
          <w:sz w:val="20"/>
        </w:rPr>
        <w:t>E-commerce growth and omnichannel integration — Bob's recently launched enhanced digital capabilities including AR visualization, which could drive higher conversion rates and average order values online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profit margin collapse to 0.4% from 6.4% signals potential cost control issues during the expansion phase — if margins do not recover, the 500-store growth plan becomes dilutive rather than accretive</w:t>
      </w:r>
    </w:p>
    <w:p>
      <w:pPr>
        <w:spacing w:before="40" w:after="40"/>
        <w:ind w:left="283"/>
      </w:pPr>
      <w:r>
        <w:rPr>
          <w:rFonts w:ascii="Calibri" w:hAnsi="Calibri"/>
          <w:b/>
          <w:color w:val="4A6B25"/>
          <w:sz w:val="20"/>
        </w:rPr>
        <w:t xml:space="preserve">2. </w:t>
      </w:r>
      <w:r>
        <w:rPr>
          <w:rFonts w:ascii="Calibri" w:hAnsi="Calibri"/>
          <w:b w:val="0"/>
          <w:color w:val="3A4A28"/>
          <w:sz w:val="20"/>
        </w:rPr>
        <w:t>Furniture is highly cyclical and discretionary — any consumer spending pullback or housing market downturn would disproportionately impact Bob's middle-income customer base</w:t>
      </w:r>
    </w:p>
    <w:p>
      <w:pPr>
        <w:spacing w:before="40" w:after="40"/>
        <w:ind w:left="283"/>
      </w:pPr>
      <w:r>
        <w:rPr>
          <w:rFonts w:ascii="Calibri" w:hAnsi="Calibri"/>
          <w:b/>
          <w:color w:val="4A6B25"/>
          <w:sz w:val="20"/>
        </w:rPr>
        <w:t xml:space="preserve">3. </w:t>
      </w:r>
      <w:r>
        <w:rPr>
          <w:rFonts w:ascii="Calibri" w:hAnsi="Calibri"/>
          <w:b w:val="0"/>
          <w:color w:val="3A4A28"/>
          <w:sz w:val="20"/>
        </w:rPr>
        <w:t>Recently public company with no recession-tested public track record — institutional investors may flee at the first sign of weakness, and the $15.70 stock price remains well below the $23.49 52-week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Furniture retail is deeply physical — customers need to sit on sofas, test mattresses, and visualize furniture in their spaces before purchasing. Bob's in-store experience with complimentary refreshments, showroom displays, and delivery logistics involving bulky items creates meaningful physical-world moats that AI cannot substitute [2]. The complex last-mile delivery of large furniture items requires warehousing, delivery trucks, and installation services — infrastructure AI cannot replicate. However, AI-powered interior design tools (automated room visualization, style matching) could marginally reduce the need for in-store visits, and AI-optimized e-commerce competitors could pressure digital channels [2]. AI Opportunity (0/1): No AI-driven revenue streams were identified. AR furniture visualization on the website is a technology feature but does not constitute meaningful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Bob's Discount Furniture Q1 2026 Earnings Release — BusinessWire / Investing.com, May 7, 2026</w:t>
      </w:r>
    </w:p>
    <w:p>
      <w:pPr>
        <w:spacing w:before="20" w:after="20"/>
        <w:ind w:left="170"/>
      </w:pPr>
      <w:r>
        <w:rPr>
          <w:rFonts w:ascii="Calibri" w:hAnsi="Calibri"/>
          <w:b/>
          <w:color w:val="4A6B25"/>
          <w:sz w:val="15"/>
        </w:rPr>
        <w:t xml:space="preserve">2. </w:t>
      </w:r>
      <w:r>
        <w:rPr>
          <w:rFonts w:ascii="Calibri" w:hAnsi="Calibri"/>
          <w:b w:val="0"/>
          <w:color w:val="3A4A28"/>
          <w:sz w:val="17"/>
        </w:rPr>
        <w:t>Bob's Discount Furniture CEO Leadership and Growth Strategy — RetailTouchPoints / StockTitan / HFN Digital, 2020-2026</w:t>
      </w:r>
    </w:p>
    <w:p>
      <w:pPr>
        <w:spacing w:before="20" w:after="20"/>
        <w:ind w:left="170"/>
      </w:pPr>
      <w:r>
        <w:rPr>
          <w:rFonts w:ascii="Calibri" w:hAnsi="Calibri"/>
          <w:b/>
          <w:color w:val="4A6B25"/>
          <w:sz w:val="15"/>
        </w:rPr>
        <w:t xml:space="preserve">3. </w:t>
      </w:r>
      <w:r>
        <w:rPr>
          <w:rFonts w:ascii="Calibri" w:hAnsi="Calibri"/>
          <w:b w:val="0"/>
          <w:color w:val="3A4A28"/>
          <w:sz w:val="17"/>
        </w:rPr>
        <w:t>Bob's Discount Furniture Sustainability Practices and EPA SmartWay Partnership — mybobs.com / BusinessWire,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JPMorgan Initiation — BOBS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