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BRSL</w:t>
      </w:r>
      <w:r>
        <w:rPr>
          <w:rFonts w:ascii="Calibri" w:hAnsi="Calibri"/>
          <w:b/>
          <w:color w:val="1A2010"/>
          <w:sz w:val="40"/>
        </w:rPr>
        <w:t xml:space="preserve">  Brightstar Lottery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2026-07-27 · Inspire: 56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Gambling · NYSE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Brightstar Lottery PLC (formerly International Game Technology PLC) is a pure-play global lottery technology and services company following the July 2024 sale of its Gaming &amp; Digital business to Apollo Global Management. The company designs, operates, and services lottery systems, produces instant ticket games, provides iLottery platforms, and offers AI-driven player engagement and marketing services. Brightstar operates across the U.S., Italy (Lotto Italia concession through 2034), and internationally, generating $2.52B in trailing twelve-month revenue.</w:t>
      </w:r>
    </w:p>
    <w:p>
      <w:r>
        <w:rPr>
          <w:rFonts w:ascii="Calibri" w:hAnsi="Calibri"/>
          <w:b/>
          <w:color w:val="6E8450"/>
          <w:sz w:val="18"/>
        </w:rPr>
        <w:t>5,746 Employees · https://www.brightstarlottery.com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Brightstar executed a transformative corporate restructuring — selling the Gaming &amp; Digital business to Apollo to become a focused lottery pure-play, rebranding from IGT to Brightstar Lottery in July 2025 [2]. However, organic lottery revenue has been essentially flat ($2.51B in 2025, $2.52B TTM), indicating no meaningful growth innovation in the core business. The Lotto Italia concession renewal ($926M upfront) secures revenue through 2034 but is a contract renewal, not innovation. AI Deployment (1/2): Brightstar deploys AI-driven CRM tools, predictive analytics, and Player Marketing Services for lottery customer engagement, plus AI-generated iLottery game designs including 250 captivating games and the new Prize Tap category [4]. An AI-powered route optimization tool reduces travel-related resource consumption [3]. These are deployed products generating incremental value. Market Share (2/2): Global lottery technology leader operating systems in major U.S. state lotteries and Italy's flagship Lotto Italia concession, with dominant market share in a concentrated industry protected by government-granted monopoly licenses and extremely high switching costs [1]. Pipeline (1/2): Sao Paulo lottery launch, Italy B2C digital expansion, and Connected Play platform provide growth catalysts through 2028, with Q1 2026 adjusted EBITDA growing 15% to $287M and 48.9% margin demonstrating improving profitability [1]. R&amp;D Intensity (0/1): R&amp;D spending is not prominently disclosed and appears below average for a technology services company; the business is primarily operations-driven rather than research-intensive.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Brightstar's stated purpose to 'elevate lotteries and inspire players' with a focus on 'responsible, sustainable solutions' is clear and specific to the lottery industry, leveraging nearly 50 years of heritage since IGT's founding [2]. CEO Vince Sadusky emphasizes reliability and innovation as the brand foundation. The mission is distinctive within the gambling sector but doesn't articulate a transformative vision of a better future. Community Impact (1/2): Brightstar earned MSCI AAA ESG rating in its first year as a standalone company and S&amp;P Corporate Sustainability Assessment inclusion [3]. Lottery operations inherently fund public education and social programs through state lottery proceeds. Top Employer certification in both the U.S. and Italy demonstrates commitment to workforce standards [3]. Employee Retention (1/2): Top Employer certification in U.S. and Italy. The Digital Journey programme equips employees with digital transformation skills [3]. Dorothy Costa leads People &amp; Culture function. CEO Sadusky provides leadership continuity through the IGT-to-Brightstar transition. No specific retention metrics available for the 5,746-employee workforce. Insider Buying (0/2): No evidence of meaningful net insider buying by executives in publicly available sources. The $1.1B capital return to shareholders ($3.02/share special dividend) following the gaming sale demonstrates shareholder-friendly allocation but is not insider buying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on dividend stock metrics. D/E of 482% scores 0.00 — extremely leveraged from $2.75B net debt including the $926M Lotto Italia concession upfront payment [6]. ROE of 9.26% scores 0.62 — improving but below target [6]. Revenue growth YoY of 3.3% scores 0.78 — modest organic growth [1]. Revenue 5yr CAGR of approximately -1.0% scores 0.27 — not directly comparable due to gaming divestiture. Forward P/E of 16.81 scores 1.00 — attractively valued [5]. Profit margin of 6.2% ($157M net income on $2.52B TTM revenue) scores 0.31 — thin margins depressed by concession amortization [1]. Payout ratio of ~108% scores 0.00 — dividend exceeds earnings. Consecutive years paid of 5 scores 0.50 (2x weight). Consecutive years growth of 2 scores 0.20. 5yr dividend growth CAGR of ~9% scores 1.00 (2x weight) — strong growth from post-COVID base [6]. Weighted sum 5.90/11 = 5. Liquidity floor cleared: 1.70M volume x $10.41 = $17.7M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Brightstar's transformation from a diversified gaming conglomerate into a focused lottery pure-play demonstrates strategic decisiveness, but the company fundamentally operates as a government contractor optimizing concession economics rather than pursuing an enduring cause. The near-term financial profile — $2.75B net debt, 108% payout ratio, and flat organic revenue — reflects a leveraged yield play focused on cash extraction from long-term contracts, not cause-driven leadership building for endurance.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Brightstar's purpose of 'elevating lotteries and inspiring players' is specific to its industry but does not articulate a vision of a better future that inspires sacrifice [2]. The company exists to operate lottery systems efficiently and profitably under government contracts. While lottery proceeds fund public education and social programs, Brightstar positions itself as a technology/services provider rather than a mission-driven organization championing those public benefits.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company navigated a major corporate restructuring — selling the gaming division, rebranding to Brightstar, and reorganizing under Dorothy Costa's People &amp; Culture leadership — while earning Top Employer certification in both the U.S. and Italy [3]. CEO Sadusky provides continuity. However, headcount reduction from the gaming sale, the pending COO transition (Renato Ascoli stepping down June 2026, Marco Tasso taking over), and organizational transformation create uncertainty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Brightstar positions itself as the dominant global lottery leader with 'nearly 50 years of reliability, innovation, and leadership,' emphasizing market position rather than learning from competitors [2]. The lottery industry's concentrated structure with long-term concessions doesn't naturally foster competitive learning. No management commentary referencing improvements inspired by rivals like Scientific Games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divestiture of the Gaming &amp; Digital business to Apollo for $4.1B represents a significant strategic pivot — voluntarily shedding half the company to become a focused lottery pure-play [2]. The Lotto Italia B2C digital expansion and Sao Paulo market entry show continued evolution. However, the core lottery technology business has operated essentially unchanged for decades, and the pivot was a financial restructuring rather than a transformative reinvention of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Spending $926M upfront for the nine-year Lotto Italia concession required conviction in long-term payback despite crushing near-term profitability. Returning $1.1B to shareholders via special dividend rather than hoarding cash showed decisiveness [1]. Q1 2026 results validate the strategy: adjusted EBITDA grew 15% to $287M with 48.9% margin, and income from continuing operations surged to $63M from $8M a year ago. However, these are financially rational decisions rather than principled sacrifices.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Brightstar Lottery is a pure-play global lottery technology leader trading at an attractive 16.8x forward P/E with an 8.8% dividend yield — a compelling income proposition as the business stabilizes post-restructuring [5]. Q1 2026 results were strong: adjusted EBITDA grew 15% to $287M with 48.9% margin, and income from continuing operations surged to $63M ($0.20/share) from just $8M a year prior [1]. The Lotto Italia concession through 2034 and dominant U.S. state lottery positions provide highly visible, recurring revenue streams with government-granted monopoly protections. Full-year 2026 revenue and profit guidance was reaffirmed, and net debt was trimmed to $2.75B. The Sao Paulo lottery launch and Italy B2C digital expansion provide incremental growth catalysts through 2028.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focuses on extreme leverage and stagnant organic growth. D/E of 482% with $2.75B net debt against a $1.91B market cap creates refinancing risk — the company is essentially a leveraged play on lottery concessions [5][6]. The payout ratio of 108% exceeds earnings, meaning the $0.92 annual dividend is being funded partly by cash reserves rather than sustainable earnings. Organic revenue has been flat for multiple years ($2.51B in 2025, $2.52B TTM), and even with Q1 2026 improvement, growth is mid-single-digits at best [1]. The 2024 data breach exposing 103,000+ individuals' information and Texas Lottery contract controversies highlight operational and reputational risk [3]. EPS of $0.81 TTM with -44% YoY decline reflects the continued drag from concession amortization and post-divestiture normalization. At $10.41, the stock is 44% below its 52-week high of $18.57, suggesting the market has repriced the dividend sustainability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Adjusted EBITDA margin expansion — Q1 2026 margin of 48.9% (up from 42.8%) signals improving profitability as Lotto Italia concession costs amortize and operational efficiencies take hold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Lotto Italia B2C digital expansion and Sao Paulo lottery launch providing organic revenue growth in the world's largest lottery markets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8.8% dividend yield supported by reaffirmed 2026 guidance and $63M Q1 income, with potential for payout ratio normalization as earnings recover toward $1.00+ EPS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— D/E of 482% with $2.75B net debt creates refinancing risk and limits financial flexibility; the 108% payout ratio means the dividend is currently unsustainable from earnings alone [5][6]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Flat organic revenue trajectory — multiple years of essentially flat lottery revenue ($2.50-2.52B) with only mid-single-digit growth guided suggests the core lottery market is mature with limited growth levers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Operational and reputational risk — 2024 data breach affecting 103,000+ individuals and Texas Lottery contract controversies highlight execution risk; lottery concession values are highly sensitive to regulatory and security confidence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Lottery technology and operations are deeply protected by government-granted monopoly licenses, rigorous security certifications, and long-term concession agreements that AI cannot displace [1]. Brightstar's core business — operating lottery transaction processing systems, producing instant tickets, and managing physical retail terminal networks — involves regulated physical-world infrastructure built over decades. Switching costs are extreme: replacing a state's lottery system is a multi-year, high-stakes process requiring regulatory approval. However, digital lottery (iLottery) faces some competitive pressure from AI-enhanced gaming platforms, and AI could theoretically enable new entrants or enhance competitor offerings in jurisdictions opening new lottery licenses. AI Opportunity (1/1): Brightstar actively deploys AI-driven CRM, predictive analytics, AI-generated game designs for its 250-game iLottery library, and an AI-powered route optimization tool for field operations [3][4]. These generate measurable efficiency gains and engagement improvements across the installed lottery customer base.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Brightstar Lottery Q1 2026 Results — $587M revenue, $63M income, $287M adjusted EBITDA (+15%), 48.9% margin, 2026 guidance reaffirmed,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Brightstar Lottery corporate press releases — CEO Vince Sadusky rebrand announcement, IGT to Brightstar transition, AI-driven solutions,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Brightstar Lottery ESG Achievements — MSCI AAA rating, S&amp;P CSA score, Top Employer certification US/Italy, data breach disclosure, Lottery Daily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Brightstar Lottery NASPL 2025 — AI-generated iLottery games, Prize Tap category, 250-game library, Connected Play platform,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BRSL key statistics, $10.41 price, 8.84% yield, 16.81 forward PE,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GuruFocus / MarketBeat — BRSL debt-to-equity 482%, ROE 9.26%, dividend history and growth metrics,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