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BSBR</w:t>
      </w:r>
      <w:r>
        <w:rPr>
          <w:rFonts w:ascii="Calibri" w:hAnsi="Calibri"/>
          <w:b/>
          <w:color w:val="1A2010"/>
          <w:sz w:val="40"/>
        </w:rPr>
        <w:t xml:space="preserve">  Banco Santander (Brasil) S.A.</w:t>
      </w:r>
    </w:p>
    <w:p>
      <w:pPr>
        <w:spacing w:after="120"/>
      </w:pPr>
      <w:r>
        <w:rPr>
          <w:rFonts w:ascii="Calibri" w:hAnsi="Calibri"/>
          <w:b/>
          <w:color w:val="6E8450"/>
          <w:sz w:val="18"/>
        </w:rPr>
        <w:t>DIVIDEND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NYSE · Brazil</w:t>
      </w:r>
    </w:p>
    <w:p>
      <w:pPr>
        <w:spacing w:after="80"/>
      </w:pPr>
      <w:r>
        <w:rPr>
          <w:rFonts w:ascii="Calibri" w:hAnsi="Calibri"/>
          <w:b w:val="0"/>
          <w:color w:val="3A4A28"/>
          <w:sz w:val="20"/>
        </w:rPr>
        <w:t>Banco Santander (Brasil) S.A. operates as a subsidiary of Spain's Banco Santander S.A., providing retail and commercial banking, investment banking, asset management, and insurance services in Brazil. With 76.2 million clients, it is one of Brazil's largest private-sector banks. Headquartered in Sao Paulo, the company trades as an ADR on the NYSE.</w:t>
      </w:r>
    </w:p>
    <w:p>
      <w:r>
        <w:rPr>
          <w:rFonts w:ascii="Calibri" w:hAnsi="Calibri"/>
          <w:b/>
          <w:color w:val="6E8450"/>
          <w:sz w:val="18"/>
        </w:rPr>
        <w:t>54,000 Employees · https://www.santander.com.br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Banco Santander Brasil has grown its customer base to 76.2 million clients (up 6% YoY) and expanded digital banking capabilities, but these are incremental improvements to a traditional banking model with no transformative product launches or business model pivots in the past five years [1]. The bank remains a conventional full-service lender competing against both traditional rivals and fast-growing fintechs like Nubank. AI Deployment (0/2): No evidence of AI-powered products shipping to customers or quantified AI-driven cost savings. The board restructured its Innovation and Technology Committee in July 2026, appointing Daniel Barriuso Rojo as coordinator, signaling attention to technology governance but not demonstrated AI results [2]. Market Share (1/2): One of Brazil's top 5 private banks with 76.2M clients, but not the category leader — Itau Unibanco holds the dominant position in Brazilian private banking [1]. Market share is stable but not gaining meaningfully against digital competitors. Product Pipeline (0/2): The new CEO (Gilson Finkelsztain, effective July 2026) may bring strategic changes given his background as CEO of B3 (Brazil's stock exchange), but no specific next-generation products or digital platforms have been announced with launch timelines [2]. R&amp;D Intensity (0/1): No evidence of above-average technology spending relative to Brazilian banking peers. The bank does not report R&amp;D spending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outgoing CEO described five years of 'transforming our portfolio, our results, our journeys and our absolute focus on the customer vision — and our increasingly strong culture of service' [2]. This is clear and client-focused but entirely interchangeable with any retail bank's purpose statement. It identifies what Santander Brasil does (serve customers) but articulates no deeper purpose or vision of a better future beyond profitable banking. Community Impact (1/2): Santander Brasil has been active in green finance — spearheading Brazil's first ESG-linked loan, pioneering green bonds for transport and logistics, and supporting biofuel decarbonization credits [3]. Employee compensation includes ESG performance metrics [3]. These are meaningful but reflect industry-standard ESG engagement for a major bank. Employee Retention (0/2): CEO Mario Roberto Opice Leao was removed and replaced by Gilson Finkelsztain effective July 1, 2026, after five years [2]. No Glassdoor data or employee retention metrics were found in search results. The leadership instability at the CEO level creates uncertainty. Insider Buying (0/2): No evidence of net insider buying by executives in the past 12 months. ADR structure and parent company (Banco Santander S.A.) ownership create limited opportunity for traditional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Santander Brasil's financial profile reflects a profitable bank with attractive valuation but decelerating returns. Q2 2026 recurring net income was BRL 3B with ROE declining to 12.5% as credit costs rose and management shifted toward a more conservative risk-return profile [1]. Forward P/E of 6.57 represents deep value pricing. Profit margin of 27.95% is solid for a diversified bank. Revenue growth of 18% YoY in Q1 2026 reflects Brazilian real dynamics and volume growth [1]. D/E of 166% is standard leverage for a regulated bank with $33B cash against $63B debt. Dividend yield of 5.86% is attractive though dividend growth has been inconsistent due to variable payout policies tied to regulatory capital requirements [4]. Liquidity check: ~1.8M avg daily volume x $6.94 = $12.5M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Banco Santander Brasil operates as a fundamentally finite-game player. The bank's purpose is indistinguishable from any competitor, leadership was recently replaced due to performance pressure, and strategic decisions are oriented around quarterly ROE targets and capital allocation rather than a vision of the future. The parent company (Banco Santander S.A.) drives strategy from Madrid, leaving the Brazilian subsidiary with limited autonomy for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Santander Brasil's articulated purpose centers on customer service excellence and financial inclusion — worthy goals but entirely generic for a major bank. The outgoing CEO's description of the company's five-year focus on 'customer vision' and 'culture of service' is indistinguishable from any peer bank's mission statement [2]. The purpose does not describe a future state worth sacrificing for. As a subsidiary of Banco Santander S.A., the bank's strategic direction is largely determined by the parent in Madrid, further limiting the development of an independent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former CEO Mario Roberto Opice Leao served five years before being replaced, suggesting a period of organizational stability. However, the CEO transition in July 2026, combined with the Innovation Committee restructuring, signals leadership flux that typically erodes psychological safety [2]. The hiring of B3 CEO Gilson Finkelsztain as replacement represents a high-profile strategic hire that could stabilize or disrupt the organization depending on execution. No employee satisfaction data was available, preventing assessment of frontline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Santander Brasil's competitive positioning is framed around market share defense and ROE targets rather than learning from competitors' strengths. The bank competes against Nubank, Itau, and Bradesco primarily through pricing and distribution scale — a finite market-share game. Management commentary focuses on financial metrics (ROE, cost of risk, NIM) rather than how competition makes Santander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Banco Santander Brasil has not demonstrated transformative strategic flexibility. The bank continues to operate a traditional full-service banking model with incremental digital enhancements. No evidence of abandoning legacy business lines or making bold strategic pivots in service of a larger purpose. The shift toward a 'more conservative risk-return profile' in Q2 2026 is risk management, not existential flexibility [1]. As a subsidiary, major strategic pivots would need parent company approval, structurally limiting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shift toward a more conservative credit risk-return profile in Q2 2026, even though it compressed ROE to 12.5%, demonstrates willingness to sacrifice short-term profitability for long-term portfolio quality [1]. Santander Brasil's ESG commitments — pioneering green bonds and ESG-linked loans in Brazil, and tying employee compensation to ESG metrics — show some willingness to invest beyond quarterly returns [3]. However, these decisions fall within the range of standard risk management and ESG compliance rather than genuinely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Santander Brasil trades at a deeply discounted forward P/E of 6.57 with a 5.86% dividend yield, offering value and income in one of the world's largest banking markets [4]. Q1 2026 revenue grew 18% YoY to $4.25B, and the customer base expanded 6% to 76.2M clients [1]. The appointment of Gilson Finkelsztain (former B3 CEO) as the new CEO in July 2026 brings capital markets expertise that could accelerate non-credit revenue growth and improve the bank's technology positioning [2]. Santander Brasil's green finance leadership — first ESG-linked loan in Brazil, green bond issuance — positions the bank well for growing sustainable finance flows [3]. At current valuations, the stock prices in significant pessimism and offers asymmetric upside if ROE recovers toward the 15%+ range.</w:t>
      </w:r>
    </w:p>
    <w:p>
      <w:pPr>
        <w:spacing w:after="120"/>
      </w:pPr>
      <w:r>
        <w:rPr>
          <w:rFonts w:ascii="Calibri" w:hAnsi="Calibri"/>
          <w:b w:val="0"/>
          <w:color w:val="3A4A28"/>
          <w:sz w:val="20"/>
        </w:rPr>
        <w:t>The bear case is substantial. Q2 2026 ROE declined to 12.5% as credit costs rose and management acknowledged the need for a more conservative risk-return profile, signaling that the easy profitability gains are behind the bank [1]. JPMorgan downgraded BSBR in August 2026, reflecting consensus skepticism about near-term earnings recovery. Innovation is minimal — the bank has no meaningful AI strategy, no distinctive digital products, and faces intensifying competition from Nubank (100M+ users) and other fintechs that are structurally lower-cost. Dividend growth has been inconsistent, with variable payouts driven by regulatory capital requirements rather than a progressive shareholder return policy. The Brazilian macroeconomic environment — high interest rates, currency volatility, and political uncertainty — creates persistent headwinds for the banking sector. As a Santander S.A. subsidiary, strategic decisions are ultimately controlled from Madrid, limiting management's ability to pursue independent growth strategies.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Gilson Finkelsztain (former B3 CEO) could accelerate non-credit revenue growth through capital markets expertise and introduce strategic innovation from his exchange management background</w:t>
      </w:r>
    </w:p>
    <w:p>
      <w:pPr>
        <w:spacing w:before="40" w:after="40"/>
        <w:ind w:left="283"/>
      </w:pPr>
      <w:r>
        <w:rPr>
          <w:rFonts w:ascii="Calibri" w:hAnsi="Calibri"/>
          <w:b/>
          <w:color w:val="4A6B25"/>
          <w:sz w:val="20"/>
        </w:rPr>
        <w:t xml:space="preserve">2. </w:t>
      </w:r>
      <w:r>
        <w:rPr>
          <w:rFonts w:ascii="Calibri" w:hAnsi="Calibri"/>
          <w:b w:val="0"/>
          <w:color w:val="3A4A28"/>
          <w:sz w:val="20"/>
        </w:rPr>
        <w:t>If Brazilian interest rates decline from current elevated levels, credit cost normalization could drive ROE recovery from 12.5% toward the 15%+ historical average, driving significant re-rating at current 6.57x forward earnings</w:t>
      </w:r>
    </w:p>
    <w:p>
      <w:pPr>
        <w:spacing w:before="40" w:after="40"/>
        <w:ind w:left="283"/>
      </w:pPr>
      <w:r>
        <w:rPr>
          <w:rFonts w:ascii="Calibri" w:hAnsi="Calibri"/>
          <w:b/>
          <w:color w:val="4A6B25"/>
          <w:sz w:val="20"/>
        </w:rPr>
        <w:t xml:space="preserve">3. </w:t>
      </w:r>
      <w:r>
        <w:rPr>
          <w:rFonts w:ascii="Calibri" w:hAnsi="Calibri"/>
          <w:b w:val="0"/>
          <w:color w:val="3A4A28"/>
          <w:sz w:val="20"/>
        </w:rPr>
        <w:t>Growing ESG and sustainable finance volumes in Brazil, where Santander holds first-mover advantage in green bonds and ESG-linked lending, could create a differentiated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ROE decline to 12.5% and JPMorgan downgrade signal consensus skepticism about near-term earnings recovery, with management acknowledging the need for more conservative credit risk positioning</w:t>
      </w:r>
    </w:p>
    <w:p>
      <w:pPr>
        <w:spacing w:before="40" w:after="40"/>
        <w:ind w:left="283"/>
      </w:pPr>
      <w:r>
        <w:rPr>
          <w:rFonts w:ascii="Calibri" w:hAnsi="Calibri"/>
          <w:b/>
          <w:color w:val="4A6B25"/>
          <w:sz w:val="20"/>
        </w:rPr>
        <w:t xml:space="preserve">2. </w:t>
      </w:r>
      <w:r>
        <w:rPr>
          <w:rFonts w:ascii="Calibri" w:hAnsi="Calibri"/>
          <w:b w:val="0"/>
          <w:color w:val="3A4A28"/>
          <w:sz w:val="20"/>
        </w:rPr>
        <w:t>Nubank and AI-powered fintechs continue to gain share in Brazil's retail banking market at lower cost structures, structurally compressing traditional bank margins in payments, consumer lending, and digital accounts</w:t>
      </w:r>
    </w:p>
    <w:p>
      <w:pPr>
        <w:spacing w:before="40" w:after="40"/>
        <w:ind w:left="283"/>
      </w:pPr>
      <w:r>
        <w:rPr>
          <w:rFonts w:ascii="Calibri" w:hAnsi="Calibri"/>
          <w:b/>
          <w:color w:val="4A6B25"/>
          <w:sz w:val="20"/>
        </w:rPr>
        <w:t xml:space="preserve">3. </w:t>
      </w:r>
      <w:r>
        <w:rPr>
          <w:rFonts w:ascii="Calibri" w:hAnsi="Calibri"/>
          <w:b w:val="0"/>
          <w:color w:val="3A4A28"/>
          <w:sz w:val="20"/>
        </w:rPr>
        <w:t>Brazilian macroeconomic volatility — high Selic rate, BRL/USD exchange risk, and political uncertainty — creates persistent headwinds that can rapidly deteriorate credit quality across the loan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Banking faces genuine AI substitution risk across multiple business lines. AI-powered neobanks (Nubank with 100M+ users in Brazil) and fintechs are actively displacing traditional bank functions — credit scoring, customer service, payment processing, and personal financial management [1]. AI-driven lending platforms can underwrite loans faster and cheaper than legacy bank infrastructure. However, Santander Brasil retains meaningful defensive moats: Central Bank of Brazil regulatory licensing creates hard barriers to entry, corporate banking relationships require trust and scale that AI cannot substitute, deposit insurance and institutional credibility protect the retail funding base, and the 76.2M client base creates switching costs through salary accounts, mortgages, and cross-sold products. The threat is real but not existential — it compresses margins rather than eliminates the business. AI Opportunity (0/1): No evidence of AI-powered products generating quantifiable revenue. The Innovation and Technology Committee restructuring in July 2026 suggests attention to technology strategy but no specific AI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Santander Brasil Q1 and Q2 2026 Earnings Results and Investor Presentations, 2026</w:t>
      </w:r>
    </w:p>
    <w:p>
      <w:pPr>
        <w:spacing w:before="20" w:after="20"/>
        <w:ind w:left="170"/>
      </w:pPr>
      <w:r>
        <w:rPr>
          <w:rFonts w:ascii="Calibri" w:hAnsi="Calibri"/>
          <w:b/>
          <w:color w:val="4A6B25"/>
          <w:sz w:val="15"/>
        </w:rPr>
        <w:t xml:space="preserve">2. </w:t>
      </w:r>
      <w:r>
        <w:rPr>
          <w:rFonts w:ascii="Calibri" w:hAnsi="Calibri"/>
          <w:b w:val="0"/>
          <w:color w:val="3A4A28"/>
          <w:sz w:val="17"/>
        </w:rPr>
        <w:t>Santander Brasil CEO Transition and Innovation Committee Restructuring — TipRanks, PYMNTS.com, July 2026</w:t>
      </w:r>
    </w:p>
    <w:p>
      <w:pPr>
        <w:spacing w:before="20" w:after="20"/>
        <w:ind w:left="170"/>
      </w:pPr>
      <w:r>
        <w:rPr>
          <w:rFonts w:ascii="Calibri" w:hAnsi="Calibri"/>
          <w:b/>
          <w:color w:val="4A6B25"/>
          <w:sz w:val="15"/>
        </w:rPr>
        <w:t xml:space="preserve">3. </w:t>
      </w:r>
      <w:r>
        <w:rPr>
          <w:rFonts w:ascii="Calibri" w:hAnsi="Calibri"/>
          <w:b w:val="0"/>
          <w:color w:val="3A4A28"/>
          <w:sz w:val="17"/>
        </w:rPr>
        <w:t>Santander Brasil ESG Initiatives — Green Bonds, ESG-linked Loans, Sustainability Policy,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BSBR Statistics, Valuation, and Dividend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JPMorgan Downgrade of BSBR — StocksToTrade,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