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BUR</w:t>
      </w:r>
      <w:r>
        <w:rPr>
          <w:rFonts w:ascii="Calibri" w:hAnsi="Calibri"/>
          <w:b/>
          <w:color w:val="1A2010"/>
          <w:sz w:val="40"/>
        </w:rPr>
        <w:t xml:space="preserve">  Burford Capital Limited</w:t>
      </w:r>
    </w:p>
    <w:p>
      <w:pPr>
        <w:spacing w:after="120"/>
      </w:pPr>
      <w:r>
        <w:rPr>
          <w:rFonts w:ascii="Calibri" w:hAnsi="Calibri"/>
          <w:b/>
          <w:color w:val="6E8450"/>
          <w:sz w:val="18"/>
        </w:rPr>
        <w:t>GROWTH SLEEVE · 2026-07-20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Guernsey</w:t>
      </w:r>
    </w:p>
    <w:p>
      <w:pPr>
        <w:spacing w:after="80"/>
      </w:pPr>
      <w:r>
        <w:rPr>
          <w:rFonts w:ascii="Calibri" w:hAnsi="Calibri"/>
          <w:b w:val="0"/>
          <w:color w:val="3A4A28"/>
          <w:sz w:val="20"/>
        </w:rPr>
        <w:t>Burford Capital is the world's largest provider of litigation finance, offering capital against the underlying value of commercial litigation and arbitration matters. The company operates in two segments: Principal Finance (deploying capital directly into legal claims) and Asset Management (managing third-party legal finance assets). Q1 2026 reported $1.72B in revenue under updated accounting, though TTM earnings of -$1.6B reflect a large non-cash YPF-related write-down. The company generated $236M in cash and over $100M in profit from the YPF case despite the accounting charge.</w:t>
      </w:r>
    </w:p>
    <w:p>
      <w:r>
        <w:rPr>
          <w:rFonts w:ascii="Calibri" w:hAnsi="Calibri"/>
          <w:b/>
          <w:color w:val="6E8450"/>
          <w:sz w:val="18"/>
        </w:rPr>
        <w:t>172 Employees · https://www.burfordcapital.com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Burford pioneered institutional-scale litigation finance and has maintained market leadership since its 2009 founding, but the business model has remained fundamentally unchanged — deploying capital against litigation outcomes and collecting returns on resolution [1][2]. No transformative pivots or new product categories in the last 5 years. AI Deployment (1/2): Burford is actively building AI capabilities, hiring an AI Engineer to join its Software &amp; Data team to 'design, build, and scale systems that process real-time legal documents and apply various forms of AI to support investment decision-making and business development' [3]. AI is deployed for early-stage issue-spotting and case assessment, though no quantified savings or revenue have been disclosed. Market Share (2/2): Burford is the world's largest litigation finance provider with approximately $7B+ in assets under management, dual-listed on NYSE and LSE, and recognized as the category creator in institutional legal finance [2]. Pipeline (0/2): No specific next-generation products with defined timelines; the business pipeline depends on litigation origination and resolution timing which is inherently unpredictable, though analysts forecast 65% revenue growth for FY2026 [1]. R&amp;D Intensity (0/1): Minimal formal R&amp;D spending as a financial services firm; innovation is driven by deal structuring and emerging AI capabilities rather than traditional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Burford positions itself as enabling access to justice by providing capital to pursue meritorious legal claims that claimants otherwise could not afford — a clear purpose that connects capital deployment to a societal benefit, though critics argue the model incentivizes excessive litigation [2]. Community Impact (1/2): The Equity Project, Burford's award-winning diversity initiative, provides economic incentives to improve diversity in leadership of commercial litigation and arbitration — a distinctive, purpose-aligned program, though small in scale relative to the company's operations [4]. Employee Retention (0/2): No specific employee retention or turnover data available for the 172-person firm. CEO Christopher Bogart's 16.5-year tenure demonstrates leadership continuity, but no broader workforce retention metrics were identified. Insider Buying (1/2): CEO Bogart co-founded the company in 2009 and has led it for over 16 years with significant equity ownership, demonstrating deep long-term alignment, though specific recent insider transaction data was limited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Burford's financial profile reflects the extreme lumpiness of litigation finance returns. Q1 2026 reported revenue of $1.72B under updated accounting standards, up from $118.85M in Q1 2025, though the dramatic increase is partially driven by accounting changes in revenue recognition [1]. TTM earnings of -$1.6B reflect a large non-cash charge from an unexpected YPF-related loss, though the company has generated $236M in cash and over $100M in profit from the case [1]. FY2025 revenue of $382.82M declined 31.8% from FY2024's $561.67M due to litigation resolution timing [1]. Forward P/E of 5.0x is extremely cheap, reflecting significant market skepticism. D/E of 68.5% is near the 70% target threshold. ROE of 2.3% (pre-write-down) is well below the 15% target. Profit margin of 16.3% is moderate but may deteriorate as the YPF charge flows through. Liquidity floor cleared: ~3.5M avg volume x ~$5 = ~$17.5M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Burford demonstrates mixed infinite game characteristics. CEO Christopher Bogart's 16.5-year tenure as co-founder and his creation of institutional litigation finance as an entirely new asset class show genuine long-term vision and conviction. The willingness to pursue decade-long cases like YPF reflects patience uncommon in financial services. However, the company's Sustainalytics 'Severe' ESG controversy rating, opaque accounting, and contested business model ethics create tension with the access-to-justice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Burford's stated cause — democratizing access to justice by financing meritorious legal claims — has genuine depth and connects capital deployment to a societal benefit [2]. However, this narrative is contested: critics describe litigation finance as incentivizing excessive litigation and potentially amounting to economic coercion against defendants. The cause has not been validated through decades of controversy-free execution, and the divergence between MSCI AA and Sustainalytics 'Severe' ESG ratings underscores the contested nature of the business model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172-person firm has maintained stable leadership with co-founder CEO Bogart at the helm for 16.5 years, providing continuity unusual in financial services [3]. The small, specialized team operates in intellectually demanding litigation finance where deep expertise creates institutional knowledge. No evidence of major layoffs or restructuring. However, no specific data on employee empowerment, psychological safety, or above-average retention practices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Burford acknowledges the growth of competitors like Longford Capital, Bentham IMF, and Harbour Litigation Funding, and publishes the Burford Quarterly exploring industry trends and competitive dynamics in a way that elevates the entire litigation finance market [2]. This suggests a mature competitive mindset focused on growing the category rather than zero-sum market share battles — appropriate for a category creator.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Burford has expanded from pure litigation financing into asset management for third-party investors, legal risk management, adverse cost insurance, and complex strategies — meaningful extensions of the core legal finance model into adjacent revenue streams [2]. The dual NYSE/LSE listing was a strategic move to access deeper capital markets. However, the core business model of deploying capital against litigation outcomes has remained fundamentally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Bogart demonstrated courage in defending the company during the 2019 Muddy Waters short attack, maintaining strategy through significant stock price volatility [4]. The commitment to the YPF case over more than a decade — generating $236M in cash and over $100M in profit despite a massive non-cash write-down — exemplifies patience and conviction in long-term, uncertain litigation outcomes [1]. The Equity Project diversity initiative in a traditionally homogeneous legal industry shows principled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Burford Capital is the world's largest litigation funder trading at a deeply discounted 5.0x forward P/E, with analysts forecasting 65% revenue growth for FY2026 as case resolution timing normalizes [1]. Q1 2026 reported $1.72B in revenue under updated accounting standards, though the YPF-related non-cash charge resulted in a -$1.6B TTM loss that masks underlying cash generation — the company generated $236M in cash and over $100M in profit from the YPF case itself [1]. At approximately $5 per share (~0.45x book value), the market prices extreme skepticism about the company's ability to realize its $5.2B portfolio of modeled realizations. CEO Bogart's 16.5-year tenure as co-founder and the company's position as category creator in institutional litigation finance provide competitive advantages with deep moats built on legal expertise and relationships [2].</w:t>
      </w:r>
    </w:p>
    <w:p>
      <w:pPr>
        <w:spacing w:after="120"/>
      </w:pPr>
      <w:r>
        <w:rPr>
          <w:rFonts w:ascii="Calibri" w:hAnsi="Calibri"/>
          <w:b w:val="0"/>
          <w:color w:val="3A4A28"/>
          <w:sz w:val="20"/>
        </w:rPr>
        <w:t>The bear case centers on Burford's extreme earnings volatility, opaque accounting, and governance concerns. FY2025 revenue of $382.82M declined 31.8% from FY2024's $561.67M, and the Q1 2026 revenue spike to $1.72B is distorted by accounting changes that complicate period-to-period comparison [1][5]. The $1.6B TTM loss from the YPF write-down — even if non-cash — demonstrates the binary risk inherent in concentrated litigation bets. The debt-funded business model ($2.1B outstanding) creates refinancing risk in tight credit markets. Sustainalytics assigns a 'Severe' ESG controversy level, contradicting MSCI's AA rating and highlighting the contested nature of litigation finance ethics [4]. The stock has declined from its $15.10 52-week high to ~$5, and the Q1 2026 earnings miss sent shares lower despite the revenue beat, suggesting institutional investors remain skeptical of the accounting quality and earnings sustainability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Portfolio realizations from $5.2B in modeled value that could drive a dramatic earnings recovery if major cases resolve favorably — analysts forecast 65% FY2026 revenue growth [1]</w:t>
      </w:r>
    </w:p>
    <w:p>
      <w:pPr>
        <w:spacing w:before="40" w:after="40"/>
        <w:ind w:left="283"/>
      </w:pPr>
      <w:r>
        <w:rPr>
          <w:rFonts w:ascii="Calibri" w:hAnsi="Calibri"/>
          <w:b/>
          <w:color w:val="4A6B25"/>
          <w:sz w:val="20"/>
        </w:rPr>
        <w:t xml:space="preserve">2. </w:t>
      </w:r>
      <w:r>
        <w:rPr>
          <w:rFonts w:ascii="Calibri" w:hAnsi="Calibri"/>
          <w:b w:val="0"/>
          <w:color w:val="3A4A28"/>
          <w:sz w:val="20"/>
        </w:rPr>
        <w:t>Cash receipts guidance of $280M for 2026 providing a floor for cash generation independent of accounting-driven revenue volatility [1]</w:t>
      </w:r>
    </w:p>
    <w:p>
      <w:pPr>
        <w:spacing w:before="40" w:after="40"/>
        <w:ind w:left="283"/>
      </w:pPr>
      <w:r>
        <w:rPr>
          <w:rFonts w:ascii="Calibri" w:hAnsi="Calibri"/>
          <w:b/>
          <w:color w:val="4A6B25"/>
          <w:sz w:val="20"/>
        </w:rPr>
        <w:t xml:space="preserve">3. </w:t>
      </w:r>
      <w:r>
        <w:rPr>
          <w:rFonts w:ascii="Calibri" w:hAnsi="Calibri"/>
          <w:b w:val="0"/>
          <w:color w:val="3A4A28"/>
          <w:sz w:val="20"/>
        </w:rPr>
        <w:t>Forward P/E of 5.0x and 0.45x book value create significant upside optionality if market confidence in the business model recovers and earnings normalize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revenue volatility — FY2025 revenue declined 31.8%, and Q1 2026's $1.72B is distorted by accounting changes, making financial forecasting unreliable for litigation resolution timing [1][5]</w:t>
      </w:r>
    </w:p>
    <w:p>
      <w:pPr>
        <w:spacing w:before="40" w:after="40"/>
        <w:ind w:left="283"/>
      </w:pPr>
      <w:r>
        <w:rPr>
          <w:rFonts w:ascii="Calibri" w:hAnsi="Calibri"/>
          <w:b/>
          <w:color w:val="4A6B25"/>
          <w:sz w:val="20"/>
        </w:rPr>
        <w:t xml:space="preserve">2. </w:t>
      </w:r>
      <w:r>
        <w:rPr>
          <w:rFonts w:ascii="Calibri" w:hAnsi="Calibri"/>
          <w:b w:val="0"/>
          <w:color w:val="3A4A28"/>
          <w:sz w:val="20"/>
        </w:rPr>
        <w:t>YPF-related $1.6B non-cash write-down demonstrates the binary concentration risk inherent in large litigation bets, and the debt-funded model ($2.1B outstanding) creates refinancing exposure [1]</w:t>
      </w:r>
    </w:p>
    <w:p>
      <w:pPr>
        <w:spacing w:before="40" w:after="40"/>
        <w:ind w:left="283"/>
      </w:pPr>
      <w:r>
        <w:rPr>
          <w:rFonts w:ascii="Calibri" w:hAnsi="Calibri"/>
          <w:b/>
          <w:color w:val="4A6B25"/>
          <w:sz w:val="20"/>
        </w:rPr>
        <w:t xml:space="preserve">3. </w:t>
      </w:r>
      <w:r>
        <w:rPr>
          <w:rFonts w:ascii="Calibri" w:hAnsi="Calibri"/>
          <w:b w:val="0"/>
          <w:color w:val="3A4A28"/>
          <w:sz w:val="20"/>
        </w:rPr>
        <w:t>Sustainalytics 'Severe' ESG controversy rating and the contested ethics of litigation finance could limit institutional investor appetite and invite regulatory scrutiny that constrains the business model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Burford's core business — evaluating, financing, and managing complex commercial litigation — involves deep legal judgment, relationship management with law firms, and assessment of idiosyncratic legal claims that AI cannot fully replicate [2]. The regulatory framework of litigation, courtroom procedures, and human decision-making by judges and juries creates structural protection. However, AI tools are beginning to assist with legal research, document review, and case assessment, which could lower barriers to entry for competing litigation funders and compress Burford's analytical edge over time [3]. AI Opportunity (0/1): Burford is actively building AI capabilities with a dedicated AI Engineer role in its Software &amp; Data team for processing legal documents and supporting investment decisions, but these are internal efficiency tools rather than revenue-generating AI products [3]. No AI-driven revenue contribution has been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Burford Capital Q1 2026 Financial Results — $1.72B revenue, -$1.6B TTM loss from YPF charge, $236M cash generated, GuruFocus/Investing.com,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Burford Capital corporate website — litigation finance overview, Equity Project diversity initiative, and business model description,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Burford Capital AI Engineer job listing — Software &amp; Data team, legal document AI systems, careers.burfordcapital.com,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MSCI ESG AA rating vs Sustainalytics 'Severe' controversy rating, Yahoo Finance Sustainability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CompaniesMarketCap — BUR financial data, revenue history, and stock price,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