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w:t>
      </w:r>
      <w:r>
        <w:rPr>
          <w:rFonts w:ascii="Calibri" w:hAnsi="Calibri"/>
          <w:b/>
          <w:color w:val="1A2010"/>
          <w:sz w:val="40"/>
        </w:rPr>
        <w:t xml:space="preserve">  Barrick Mining Corporation</w:t>
      </w:r>
    </w:p>
    <w:p>
      <w:pPr>
        <w:spacing w:after="120"/>
      </w:pPr>
      <w:r>
        <w:rPr>
          <w:rFonts w:ascii="Calibri" w:hAnsi="Calibri"/>
          <w:b/>
          <w:color w:val="6E8450"/>
          <w:sz w:val="18"/>
        </w:rPr>
        <w:t>DIVIDEND SLEEVE · 2026-08-16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Gold &amp; Copper Mining · NYSE · Canada</w:t>
      </w:r>
    </w:p>
    <w:p>
      <w:pPr>
        <w:spacing w:after="80"/>
      </w:pPr>
      <w:r>
        <w:rPr>
          <w:rFonts w:ascii="Calibri" w:hAnsi="Calibri"/>
          <w:b w:val="0"/>
          <w:color w:val="3A4A28"/>
          <w:sz w:val="20"/>
        </w:rPr>
        <w:t>Barrick Mining Corporation (formerly Barrick Gold) is one of the world's largest gold and copper mining companies, operating mines across Africa, the Americas, and the Middle East. Q2 2026 revenue reached $5.29 billion, up 44% year-over-year, with net earnings of $1.22 billion (+50%) and adjusted net earnings of $1.36 billion (+70%), driven by record gold prices and gold production of 796,000 ounces that beat guidance, aided by an ahead-of-schedule ramp-up at Loulo-Gounkoto (Mali) and faster-than-expected recovery at Pueblo Viejo. In August 2026 the company announced a $4 billion agreement with Newmont resolving historical Nevada joint-venture disputes and securing consent for a North American IPO. Mark Hill has served as interim President and CEO since Mark Bristow's abrupt departure in September 2025.</w:t>
      </w:r>
    </w:p>
    <w:p>
      <w:r>
        <w:rPr>
          <w:rFonts w:ascii="Calibri" w:hAnsi="Calibri"/>
          <w:b/>
          <w:color w:val="6E8450"/>
          <w:sz w:val="18"/>
        </w:rPr>
        <w:t>27,135 Employees · https://www.barrick.com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$4 billion Newmont agreement resolving long-running Nevada joint-venture disputes and clearing the path for a North American IPO, combined with an ahead-of-schedule Loulo-Gounkoto ramp-up and Pueblo Viejo recovery, represent meaningful strategic and operational wins, though within Barrick's existing mining business model rather than a transformative pivot [1]. AI Deployment (1/2): The company states it is integrating 'autonomous technologies, AI-powered geological modeling, and blockchain traceability' across operations, but no specific quantified cost savings or production gains from AI were cited [2]. Market Share (2/2): Barrick is one of the world's two dominant gold miners alongside Newmont, with copper exposure adding a second leadership category [2]. Product Pipeline (1/2): Mine expansion and ramp-up projects (Loulo-Gounkoto, Pueblo Viejo) provide some forward visibility, but mining lacks the named next-generation 'product' launch structure this item rewards. R&amp;D Intensity (0/1): No R&amp;D-to-revenue data relative to mining industry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Barrick's stated mission — to be 'the world's most valued gold and copper mining business, leading in safety, sustainability and long-term shareholder value' — pairs an aspirational sustainability line ('leave the world better than we found it') with fairly generic shareholder-value language typical of the mining sector [2]. Community Impact (2/2): Barrick invested more than $62 million in community-led development initiatives in host countries, with 96% of employees and 76% of suppliers sourced locally — specific, substantial figures that go beyond boilerplate CSR [2]. Employee Retention (1/2): The 96% local-hire rate and stated commitment to local skills training are positive signals, but no explicit turnover or average-tenure data was found to support a top score. Insider Buying (0/2): No specific insider buying transactions or dollar amounts were identified in available disclosures.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dividend-paying stock across 10 weighted core and dividend metrics. Barrick clears the liquidity floor comfortably (~$409M daily dollar volume) and scores at or near the ceiling on nearly every metric: D/E of 13% (target ≤70%), ROE of 27.01% (target ≥15%), 44% revenue growth YoY, Forward P/E of 10.38, and profit margin of 31.60% all score at maximum, while 5yr revenue CAGR of 9.2% scores just under target. On dividend quality, the company has paid a dividend since 2000 (2x weight, at maximum), carries a conservative 25.5% payout ratio, and posted a 5yr dividend growth CAGR of 10.44% (2x weight, at maximum) — the combination of record gold-price-driven earnings and a disciplined capital return policy produces a near-maximum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Barrick shows real evidence of playing a longer game — a $4 billion settlement resolving decades of Nevada joint-venture friction with Newmont, over $62 million in host-community investment, and continued operation in difficult jurisdictions like Mali and Tanzania rather than exiting at the first sign of trouble. But the abrupt, unexplained September 2025 departure of long-tenured CEO Mark Bristow and the subsequent interim leadership arrangement introduce exactly the kind of institutional discontinuity Sinek warns against, and the company's own mission language leans as heavily on 'shareholder value' as it does on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$62M+ in community development investment and 96% local-hiring commitment give some substance to Barrick's stated aim to 'leave the world better than we found it,' but the mission statement itself blends this with conventional 'most valued... shareholder value' framing, and the sudden CEO exit raises questions about whether the cause is institutionally resilient beyond any single leader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Mark Bristow's abrupt, publicly characterized as 'shocking' exit in September 2025 after leading the company since the 2019 Randgold merger, followed by an interim CEO arrangement still unresolved as of mid-2026, signals leadership instability at the top of the organization, even as local-hiring practices suggest reasonable trust at the operational level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 $4 billion agreement with Newmont explicitly aims at 'resolving historical disputes, aligning joint venture interests' rather than continued adversarial conflict over the shared Nevada operations, reflecting a cooperative, improvement-oriented resolution with Barrick's largest industry rival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transformative 2019 Randgold merger and the 2026 Newmont Nevada settlement both show willingness to restructure major asset and ownership relationships to unlock value, though this is portfolio and dealmaking adaptation within the existing mining business model rather than a full reinvention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Continuing to invest in and operate Tanzanian and Malian assets through years of hostile government relations, environmental disputes, and human rights scrutiny at North Mara — rather than exiting — reflects a costly long-term commitment to difficult jurisdictions, though the company has also faced legitimate criticism over its handling of specific community harm incidents at these sites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Barrick is riding a record gold price environment into genuinely strong fundamentals — Q2 2026 revenue of $5.29 billion (+44% YoY), net earnings of $1.22 billion (+50%), and gold production of 796,000 ounces that beat the top end of guidance, powered by an ahead-of-schedule Loulo-Gounkoto ramp-up in Mali and a faster-than-expected Pueblo Viejo recovery [1]. The August 2026 $4 billion agreement with Newmont resolves a long-running Nevada joint-venture dispute and clears consent for a North American IPO, removing a multi-year overhang while aligning the two largest gold miners' interests [1]. Infrastructure metrics are excellent across the board — D/E of just 13%, ROE of 27%, a conservative 25.5% payout ratio against a 2.27% yield, and 26 consecutive years of dividend payments with a 10.44% 5-year dividend growth CAGR — giving income-oriented allocators both current yield and demonstrated capital discipline.</w:t>
      </w:r>
    </w:p>
    <w:p>
      <w:pPr>
        <w:spacing w:after="120"/>
      </w:pPr>
      <w:r>
        <w:rPr>
          <w:rFonts w:ascii="Calibri" w:hAnsi="Calibri"/>
          <w:b w:val="0"/>
          <w:color w:val="3A4A28"/>
          <w:sz w:val="20"/>
        </w:rPr>
        <w:t>The bear case centers on commodity-price dependence and leadership continuity. Barrick's extraordinary Q2 2026 growth (+44% revenue, +50% net earnings) is substantially a function of the gold price cycle rather than company-specific execution, and a reversal in gold prices would compress these metrics quickly given the operating leverage inherent in mining. The company has been without a permanent CEO since Mark Bristow's abrupt September 2025 departure, an unusual and unexplained transition after his six-year tenure since the Randgold merger, and unresolved succession risk is a genuine governance concern for a company managing complex, politically sensitive assets in Mali and Tanzania. Historical ESG friction remains live — North Mara has faced documented allegations of police-related deaths and environmental violations, and Mali production was disrupted by a 32% output decline in 2025 amid government disputes before the recent recovery — reminding investors that jurisdictional risk in Barrick's highest-grade assets is structural, not incidental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and integration of the $4 billion Newmont Nevada joint-venture settlement, including progress toward the North American IPO consent secured in the agreement, which could unlock a valuation re-rating [1]</w:t>
      </w:r>
    </w:p>
    <w:p>
      <w:pPr>
        <w:spacing w:before="40" w:after="40"/>
        <w:ind w:left="283"/>
      </w:pPr>
      <w:r>
        <w:rPr>
          <w:rFonts w:ascii="Calibri" w:hAnsi="Calibri"/>
          <w:b/>
          <w:color w:val="4A6B25"/>
          <w:sz w:val="20"/>
        </w:rPr>
        <w:t xml:space="preserve">2. </w:t>
      </w:r>
      <w:r>
        <w:rPr>
          <w:rFonts w:ascii="Calibri" w:hAnsi="Calibri"/>
          <w:b w:val="0"/>
          <w:color w:val="3A4A28"/>
          <w:sz w:val="20"/>
        </w:rPr>
        <w:t>Permanent CEO appointment to replace interim leadership, which would remove a governance overhang that has persisted since September 2025 [3]</w:t>
      </w:r>
    </w:p>
    <w:p>
      <w:pPr>
        <w:spacing w:before="40" w:after="40"/>
        <w:ind w:left="283"/>
      </w:pPr>
      <w:r>
        <w:rPr>
          <w:rFonts w:ascii="Calibri" w:hAnsi="Calibri"/>
          <w:b/>
          <w:color w:val="4A6B25"/>
          <w:sz w:val="20"/>
        </w:rPr>
        <w:t xml:space="preserve">3. </w:t>
      </w:r>
      <w:r>
        <w:rPr>
          <w:rFonts w:ascii="Calibri" w:hAnsi="Calibri"/>
          <w:b w:val="0"/>
          <w:color w:val="3A4A28"/>
          <w:sz w:val="20"/>
        </w:rPr>
        <w:t>Continued production beats at Loulo-Gounkoto and Pueblo Viejo sustaining the current growth trajectory into the back half of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and copper price reversal — the bulk of Q2 2026's 44% revenue growth and 50% earnings growth reflects favorable commodity prices rather than structural company-specific improvement, leaving results highly exposed to a price correction</w:t>
      </w:r>
    </w:p>
    <w:p>
      <w:pPr>
        <w:spacing w:before="40" w:after="40"/>
        <w:ind w:left="283"/>
      </w:pPr>
      <w:r>
        <w:rPr>
          <w:rFonts w:ascii="Calibri" w:hAnsi="Calibri"/>
          <w:b/>
          <w:color w:val="4A6B25"/>
          <w:sz w:val="20"/>
        </w:rPr>
        <w:t xml:space="preserve">2. </w:t>
      </w:r>
      <w:r>
        <w:rPr>
          <w:rFonts w:ascii="Calibri" w:hAnsi="Calibri"/>
          <w:b w:val="0"/>
          <w:color w:val="3A4A28"/>
          <w:sz w:val="20"/>
        </w:rPr>
        <w:t>Unresolved permanent CEO succession more than a year after Mark Bristow's abrupt September 2025 departure, an unusual governance gap for a company of Barrick's scale operating in politically complex jurisdictions [3]</w:t>
      </w:r>
    </w:p>
    <w:p>
      <w:pPr>
        <w:spacing w:before="40" w:after="40"/>
        <w:ind w:left="283"/>
      </w:pPr>
      <w:r>
        <w:rPr>
          <w:rFonts w:ascii="Calibri" w:hAnsi="Calibri"/>
          <w:b/>
          <w:color w:val="4A6B25"/>
          <w:sz w:val="20"/>
        </w:rPr>
        <w:t xml:space="preserve">3. </w:t>
      </w:r>
      <w:r>
        <w:rPr>
          <w:rFonts w:ascii="Calibri" w:hAnsi="Calibri"/>
          <w:b w:val="0"/>
          <w:color w:val="3A4A28"/>
          <w:sz w:val="20"/>
        </w:rPr>
        <w:t>Jurisdictional and ESG risk in Mali and Tanzania, where Barrick has faced government production disputes (a 32% Mali output decline in 2025), environmental protection orders, and human rights allegations tied to police conduct at the North Mara mine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Gold and copper extraction is a physical-world commodity business — AI software has no substitution path for mining, ore processing, or the physical delivery of metal, making Barrick structurally immune to AI-driven disruption of its core revenue [2]. AI Opportunity (0/1): The company uses AI-powered geological modeling and autonomous haul trucks as internal operational efficiency tools, but these are cost-saving applications rather than a quantifiable AI-linked revenue stream, so no tiebreaker point is awarded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Barrick Q2 2026 Results and Earnings Call — Revenue $5.29B (+44% YoY), Net Earnings $1.22B (+50%), Gold Production 796koz Beat, Newmont $4B Settlement — GlobeNewswire, StockTitan, Investing.com, August 2026</w:t>
      </w:r>
    </w:p>
    <w:p>
      <w:pPr>
        <w:spacing w:before="20" w:after="20"/>
        <w:ind w:left="170"/>
      </w:pPr>
      <w:r>
        <w:rPr>
          <w:rFonts w:ascii="Calibri" w:hAnsi="Calibri"/>
          <w:b/>
          <w:color w:val="4A6B25"/>
          <w:sz w:val="15"/>
        </w:rPr>
        <w:t xml:space="preserve">2. </w:t>
      </w:r>
      <w:r>
        <w:rPr>
          <w:rFonts w:ascii="Calibri" w:hAnsi="Calibri"/>
          <w:b w:val="0"/>
          <w:color w:val="3A4A28"/>
          <w:sz w:val="17"/>
        </w:rPr>
        <w:t>Barrick Mining Leadership Transition — Mark Bristow Departure (Sept 2025), Interim CEO Mark Hill, AI and Autonomous Technology Integration — Mining.com, Mining-Technology.com, AI Magazine, 2025-2026</w:t>
      </w:r>
    </w:p>
    <w:p>
      <w:pPr>
        <w:spacing w:before="20" w:after="20"/>
        <w:ind w:left="170"/>
      </w:pPr>
      <w:r>
        <w:rPr>
          <w:rFonts w:ascii="Calibri" w:hAnsi="Calibri"/>
          <w:b/>
          <w:color w:val="4A6B25"/>
          <w:sz w:val="15"/>
        </w:rPr>
        <w:t xml:space="preserve">3. </w:t>
      </w:r>
      <w:r>
        <w:rPr>
          <w:rFonts w:ascii="Calibri" w:hAnsi="Calibri"/>
          <w:b w:val="0"/>
          <w:color w:val="3A4A28"/>
          <w:sz w:val="17"/>
        </w:rPr>
        <w:t>Barrick Mining ESG and Community — $62M+ Community Development Investment, 96% Local Hiring, North Mara and Mali Controversies, 2025 Sustainability Report — Barrick.com, GuruFocus, Inequality.org, DiscoveryAlert,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and Dividend Data Sources — B Key Statistics: Stock Price $41.60, Forward P/E 10.38, D/E 0.13, ROE 27.01%, Dividend History Since 2000, 5yr Dividend Growth CAGR 10.44%, Revenue History FY2021-2025 — Eulerpool, MacroTrends,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