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CAH</w:t>
      </w:r>
      <w:r>
        <w:rPr>
          <w:rFonts w:ascii="Calibri" w:hAnsi="Calibri"/>
          <w:b/>
          <w:color w:val="1A2010"/>
          <w:sz w:val="40"/>
        </w:rPr>
        <w:t xml:space="preserve">  Cardinal Health, Inc.</w:t>
      </w:r>
    </w:p>
    <w:p>
      <w:pPr>
        <w:spacing w:after="120"/>
      </w:pPr>
      <w:r>
        <w:rPr>
          <w:rFonts w:ascii="Calibri" w:hAnsi="Calibri"/>
          <w:b/>
          <w:color w:val="6E8450"/>
          <w:sz w:val="18"/>
        </w:rPr>
        <w:t>GROWTH SLEEVE · 2026-07-22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Cardinal Health is one of the largest healthcare services and products companies in the United States, distributing branded, generic, and specialty pharmaceuticals to hospitals, pharmacies, and healthcare systems. One of the Big Three pharmaceutical distributors alongside McKesson and Cencora, handling approximately one-third of U.S. pharmaceutical distribution volume. Also operates a Global Medical Products and Distribution segment. Headquartered in Dublin, Ohio.</w:t>
      </w:r>
    </w:p>
    <w:p>
      <w:r>
        <w:rPr>
          <w:rFonts w:ascii="Calibri" w:hAnsi="Calibri"/>
          <w:b/>
          <w:color w:val="6E8450"/>
          <w:sz w:val="18"/>
        </w:rPr>
        <w:t>48,000 Employees · https://www.cardinalhealth.com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Jason Hollar executed a significant operational turnaround since 2020, implementing 'ruthless prioritization' that restructured segments and refocused on core pharmaceutical distribution and specialty pharma, resulting in Q3 FY2026 revenue of $60.9B (up 11% YoY) and 35% non-GAAP EPS growth [1]. The strategic pivot toward specialty pharmaceuticals and GLP-1 distribution opened meaningful new revenue streams. AI Deployment (1/2): Established an AI Center of Excellence in 2021 and launched a Digital University for AI upskilling, with AI integration into supply chain optimization and customer support, but no specific AI-powered products shipping or quantified AI-driven cost savings reported publicly [4]. Market Share (2/2): One of three dominant pharmaceutical distributors controlling approximately 90% of U.S. pharmaceutical distribution in a structural oligopoly with deep, embedded customer relationships across 90,000+ healthcare locations [1]. Product Pipeline (0/2): No specific next-generation products announced with defined timelines; growth is driven by expanding specialty pharmaceutical volumes and GLP-1 distribution demand rather than proprietary pipeline. R&amp;D Intensity (0/1): As a distribution company, R&amp;D spending is minimal relative to the $250B+ revenue base, well below the healthcare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Cardinal Health's purpose — improving the cost-effectiveness of healthcare — is clear and identifies the company's role in the healthcare system, but is not distinctive or inspiring beyond the obvious for a healthcare distributor. It describes function, not a transformative vision [3]. Community Impact (1/2): The Equity Rx program provides medications to free and charitable clinics, and the Cardinal Health Foundation provided nearly $22M in cash and product donations in FY2024. The company achieved SBTi-approved near-term climate targets with a 17% reduction in Scopes 1 and 2 emissions since fiscal 2019 [3]. Employee Retention (1/2): Glassdoor rating of 3.6/5.0 is average for the industry; employees cite work-life balance and remote work options positively, but concerns about management quality, budget tightness impacting culture, and staff departures due to poor senior leadership suggest adequate but unremarkable retention [4]. Insider Buying (0/2): No evidence of meaningful net insider buying by CEO Jason Hollar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$60.9B revenue (up 11% YoY) with non-GAAP diluted EPS of $3.17 (up 35%), and FY2026 guidance raised to $10.70-$10.80 non-GAAP EPS implying 30-31% growth [1]. Adjusted free cash flow guidance of $3.3-$3.7B. Forward P/E of 19.65 is near the 20 target (score 1.0), and PEG of 0.99 is at target (score 1.0, 2x weight). Revenue growth of 12.8% TTM exceeds the 10% target. Key weakness: negative shareholder equity from aggressive share buybacks produces a distorted D/E of -314.83% and ROE of -172.46%, both scoring 0 mechanically despite strong operating cash flow generation [5]. Profit margin of 0.62% reflects the structurally thin pharmaceutical distribution model, scoring near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Cardinal Health operates primarily as an efficiency-optimized middleman in pharmaceutical distribution, focused on operational execution and capital returns rather than pursuing a transformative vision. CEO Hollar's turnaround required operational courage but the company's organizing principle remains shareholder value maximization through buybacks and margin expansion. The $6.4B opioid settlement casts a long shadow over claims of health-improvement purpose, and the Big Three competitive structure incentivizes finite thinking — competing on price and volume rather than advancing healthcare.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Cardinal Health's purpose of improving healthcare cost-effectiveness exists but reads as a description of what any healthcare distributor does, not a distinctive vision of a better future. Leadership does not reference this purpose when making strategic decisions — capital allocation priorities (aggressive buybacks driving negative equity) suggest the real organizing principle is shareholder value maximization. The $6.4B opioid distribution settlement fundamentally undermines any claim that the company consistently lived out a health-improvement mission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organization with consistent leadership under CEO Jason Hollar since 2022, and the company maintains remote work flexibility that employees cite positively. Glassdoor rating of 3.6/5.0 is adequate but unremarkable, with praise for work-life balance offset by criticism of management quality, limited upward communication, and senior leadership being 'too set in their ways' [4]. Average for the industry — no evidence of exceptional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Cardinal Health's competitive positioning within the Big Three pharmaceutical distribution oligopoly is characterized by finite language — market share, distribution volume, and cost efficiency. No evidence of management acknowledging McKesson's or Cencora's strengths as motivation for self-improvement; competitive strategy centers on scale advantages and customer retention through operational integration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Cardinal Health has evolved incrementally — divesting the Cordis medical products business to refocus on core pharmaceutical distribution, expanding into specialty pharma and nuclear medicine (theranostics), and building at-home solutions capabilities. These demonstrate portfolio adaptability but are adjacent extensions, not transformative reinvention. The company remains fundamentally the same pharmaceutical distributor it was a decade ago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Hollar's 'ruthless prioritization' turnaround required courage — restructuring segments, divesting non-core Cordis assets, and slimming the company when earnings had fallen $300M [2]. Investing in specialty pharma growth during the turnaround demonstrated willingness to prioritize long-term positioning. However, capital allocation heavily favors share buybacks over capability investment, and the opioid crisis response was reactive settlement rather than proactive industry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Cardinal Health is executing strongly in FY2026, with Q3 revenue of $60.9B (up 11% YoY), non-GAAP diluted EPS of $3.17 (up 35%), and raised full-year guidance to $10.70-$10.80 EPS implying 30-31% growth [1]. The secular tailwind from GLP-1 distribution, specialty pharmaceutical volume growth, and nuclear medicine expansion provides multi-year revenue visibility. Forward P/E of 19.65 and PEG of 0.99 represent reasonable valuation for the earnings growth trajectory, and adjusted free cash flow of $3.3-$3.7B supports capital returns. The Big Three oligopoly structure creates a durable competitive position with high switching costs and regulatory barriers to entry.</w:t>
      </w:r>
    </w:p>
    <w:p>
      <w:pPr>
        <w:spacing w:after="120"/>
      </w:pPr>
      <w:r>
        <w:rPr>
          <w:rFonts w:ascii="Calibri" w:hAnsi="Calibri"/>
          <w:b w:val="0"/>
          <w:color w:val="3A4A28"/>
          <w:sz w:val="20"/>
        </w:rPr>
        <w:t>The bear case centers on structural margin fragility — profit margin of 0.62% means even minor pricing pressure or cost overruns can materially impact earnings, with a 10bps margin change on $250B+ revenue equaling $250M in earnings [5]. Negative shareholder equity of approximately -$3.1B from aggressive buybacks creates balance sheet fragility with no equity cushion against unexpected liabilities, including potential future opioid-related litigation beyond the $6.4B settlement. Revenue growth is heavily dependent on GLP-1 demand trends that could decelerate if competition intensifies or payer pushback on pricing grows. The company's low innovation profile as a distribution intermediary limits its ability to create proprietary growth vectors, leaving it dependent on pharmaceutical industry volume trends it cannot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GLP-1 distribution volume growth as Novo Nordisk and Eli Lilly expand supply and new indications drive patient adoption, with Cardinal Health positioned as a primary distribution partner for these high-value therapies</w:t>
      </w:r>
    </w:p>
    <w:p>
      <w:pPr>
        <w:spacing w:before="40" w:after="40"/>
        <w:ind w:left="283"/>
      </w:pPr>
      <w:r>
        <w:rPr>
          <w:rFonts w:ascii="Calibri" w:hAnsi="Calibri"/>
          <w:b/>
          <w:color w:val="4A6B25"/>
          <w:sz w:val="20"/>
        </w:rPr>
        <w:t xml:space="preserve">2. </w:t>
      </w:r>
      <w:r>
        <w:rPr>
          <w:rFonts w:ascii="Calibri" w:hAnsi="Calibri"/>
          <w:b w:val="0"/>
          <w:color w:val="3A4A28"/>
          <w:sz w:val="20"/>
        </w:rPr>
        <w:t>Nuclear &amp; Precision Health Solutions segment growth as the radiopharmaceutical theranostics market expands, leveraging Cardinal Health's existing nuclear pharmacy infrastructure</w:t>
      </w:r>
    </w:p>
    <w:p>
      <w:pPr>
        <w:spacing w:before="40" w:after="40"/>
        <w:ind w:left="283"/>
      </w:pPr>
      <w:r>
        <w:rPr>
          <w:rFonts w:ascii="Calibri" w:hAnsi="Calibri"/>
          <w:b/>
          <w:color w:val="4A6B25"/>
          <w:sz w:val="20"/>
        </w:rPr>
        <w:t xml:space="preserve">3. </w:t>
      </w:r>
      <w:r>
        <w:rPr>
          <w:rFonts w:ascii="Calibri" w:hAnsi="Calibri"/>
          <w:b w:val="0"/>
          <w:color w:val="3A4A28"/>
          <w:sz w:val="20"/>
        </w:rPr>
        <w:t>FY2026 non-GAAP EPS guidance of $10.70-$10.80 representing 30-31% growth, with potential for further raises driven by specialty pharmaceutical margin expansion and operating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Structurally thin 0.62% profit margin means even modest pricing pressure from large pharmacy chains or PBM consolidation could materially compress earnings — a 10bps change on $250B revenue equals $250M impact</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 equity from aggressive buybacks limits financial flexibility and creates vulnerability to unexpected liabilities, including potential future opioid-related litigation or regulatory penalties</w:t>
      </w:r>
    </w:p>
    <w:p>
      <w:pPr>
        <w:spacing w:before="40" w:after="40"/>
        <w:ind w:left="283"/>
      </w:pPr>
      <w:r>
        <w:rPr>
          <w:rFonts w:ascii="Calibri" w:hAnsi="Calibri"/>
          <w:b/>
          <w:color w:val="4A6B25"/>
          <w:sz w:val="20"/>
        </w:rPr>
        <w:t xml:space="preserve">3. </w:t>
      </w:r>
      <w:r>
        <w:rPr>
          <w:rFonts w:ascii="Calibri" w:hAnsi="Calibri"/>
          <w:b w:val="0"/>
          <w:color w:val="3A4A28"/>
          <w:sz w:val="20"/>
        </w:rPr>
        <w:t>Heavy dependence on GLP-1 distribution volumes for revenue growth creates concentration risk — deceleration in prescribing trends, supply disruptions, or manufacturer moves toward direct distribution could impair the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distribution is a physical-world logistics operation that AI structurally cannot displace — moving billions of dollars of pharmaceuticals through temperature-controlled supply chains to 90,000+ healthcare locations requires massive physical infrastructure, DEA licensing for controlled substances with strict chain-of-custody requirements, and deeply embedded EDI customer integrations [1]. The Big Three oligopoly structure creates additional protection through insurmountable scale barriers and regulatory moats. Increasing pharmaceutical complexity (specialty drugs, biosimilars, GLP-1s requiring cold chain) actually increases demand for sophisticated distribution infrastructure. AI Opportunity (0/1): Cardinal Health's AI Center of Excellence deploys AI for supply chain optimization and operational efficiency, but no quantifiable AI-specific revenue has been reported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Cardinal Health Q3 FY2026 Earnings Release — $60.9B revenue (11% growth), non-GAAP EPS $3.17 (up 35%), FY2026 guidance raised to $10.70-$10.80,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Cardinal Health Q2 FY2026 Earnings Release — $65.6B revenue (19% growth), non-GAAP operating earnings up 38%, Cardinal Health Newsroom, February 2026</w:t>
      </w:r>
    </w:p>
    <w:p>
      <w:pPr>
        <w:spacing w:before="20" w:after="20"/>
        <w:ind w:left="170"/>
      </w:pPr>
      <w:r>
        <w:rPr>
          <w:rFonts w:ascii="Calibri" w:hAnsi="Calibri"/>
          <w:b/>
          <w:color w:val="4A6B25"/>
          <w:sz w:val="15"/>
        </w:rPr>
        <w:t xml:space="preserve">3. </w:t>
      </w:r>
      <w:r>
        <w:rPr>
          <w:rFonts w:ascii="Calibri" w:hAnsi="Calibri"/>
          <w:b w:val="0"/>
          <w:color w:val="3A4A28"/>
          <w:sz w:val="17"/>
        </w:rPr>
        <w:t>Cardinal Health FY2024 ESG Report — $22M in donations, SBTi-approved climate targets, Equity Rx program, February 2025</w:t>
      </w:r>
    </w:p>
    <w:p>
      <w:pPr>
        <w:spacing w:before="20" w:after="20"/>
        <w:ind w:left="170"/>
      </w:pPr>
      <w:r>
        <w:rPr>
          <w:rFonts w:ascii="Calibri" w:hAnsi="Calibri"/>
          <w:b/>
          <w:color w:val="4A6B25"/>
          <w:sz w:val="15"/>
        </w:rPr>
        <w:t xml:space="preserve">4. </w:t>
      </w:r>
      <w:r>
        <w:rPr>
          <w:rFonts w:ascii="Calibri" w:hAnsi="Calibri"/>
          <w:b w:val="0"/>
          <w:color w:val="3A4A28"/>
          <w:sz w:val="17"/>
        </w:rPr>
        <w:t>Cardinal Health AI Center of Excellence — AI strategy, Digital University, responsible AI integration, Cardinal Health Newsroom,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CAH Key Statistics: Forward P/E 19.65, PEG 0.99, profit margin 0.62%,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