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CBZ</w:t>
      </w:r>
      <w:r>
        <w:rPr>
          <w:rFonts w:ascii="Calibri" w:hAnsi="Calibri"/>
          <w:b/>
          <w:color w:val="1A2010"/>
          <w:sz w:val="40"/>
        </w:rPr>
        <w:t xml:space="preserve">  CBIZ, Inc.</w:t>
      </w:r>
    </w:p>
    <w:p>
      <w:pPr>
        <w:spacing w:after="120"/>
      </w:pPr>
      <w:r>
        <w:rPr>
          <w:rFonts w:ascii="Calibri" w:hAnsi="Calibri"/>
          <w:b/>
          <w:color w:val="6E8450"/>
          <w:sz w:val="18"/>
        </w:rPr>
        <w:t>GROWTH SLEEVE · 2026-08-06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Consulting Services · NYSE · United States</w:t>
      </w:r>
    </w:p>
    <w:p>
      <w:pPr>
        <w:spacing w:after="80"/>
      </w:pPr>
      <w:r>
        <w:rPr>
          <w:rFonts w:ascii="Calibri" w:hAnsi="Calibri"/>
          <w:b w:val="0"/>
          <w:color w:val="3A4A28"/>
          <w:sz w:val="20"/>
        </w:rPr>
        <w:t>CBIZ, Inc. is the largest full-service professional services advisor of its kind in the United States, providing financial, benefits, and insurance services to organizations of all sizes. The company serves middle-market clients with tax, accounting, advisory, benefits administration, insurance brokerage, and consulting services. CBIZ completed its transformative acquisition of Marcum LLP in November 2024, creating a combined platform with approximately $2.8 billion in annualized revenue. In July 2026, Grant Thornton announced a definitive agreement to acquire CBIZ for approximately $5 billion in an all-cash transaction expected to close in Q4 2026. Headquartered in Cleveland, Ohio.</w:t>
      </w:r>
    </w:p>
    <w:p>
      <w:r>
        <w:rPr>
          <w:rFonts w:ascii="Calibri" w:hAnsi="Calibri"/>
          <w:b/>
          <w:color w:val="6E8450"/>
          <w:sz w:val="18"/>
        </w:rPr>
        <w:t>9,575 Employees · https://www.cbiz.com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CBIZ executed the transformative Marcum acquisition in November 2024, creating the largest US full-service professional services advisor of its kind with ~$2.8B in combined annualized revenue [1]. This was a significant strategic pivot from a regional professional services firm to a national platform. The company is now being acquired by Grant Thornton for $5B, validating the strategic value creation [3]. AI Deployment (1/2): CBIZ has embraced AI as a strategic priority, integrating AI tools across audit, tax, and consulting services to enhance efficiency [2]. However, no specific AI-driven revenue figures or quantified cost savings have been reported. Market Share (2/2): Following the Marcum acquisition, CBIZ is the largest full-service professional services advisor serving the US middle market [1]. The pending Grant Thornton acquisition would create the fifth-largest US professional services provider, confirming market leadership [3]. Pipeline (1/2): CBIZ is executing on four strategic priorities including industry specialization, national brand elevation, and talent development, but these are operational plans rather than specific product launches with revenue targets [2]. R&amp;D Intensity (0/1): Professional services firms do not typically invest in R&amp;D at levels comparable to technology or manufacturing companies. CBIZ's technology investment is average for the sector.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CBIZ's stated purpose centers on delivering comprehensive financial and business services to middle-market clients. This is functional and clear but generic — interchangeable with any professional services firm. CEO Jerry Grisko has emphasized 'delivering value through enhanced depth and breadth of services,' which is a growth statement, not a purpose statement [2]. Community Impact (0/2): No evidence of distinctive charitable programs, foundation work, or community investment was identified beyond standard corporate social responsibility [3]. Employee Retention (1/2): CBIZ's strategic priority of 'attract and retain top talent' signals awareness of retention importance [2]. CEO Grisko has led CBIZ through the transformative Marcum acquisition with organizational stability. The company had an employee stock purchase program, though it was recently ended [3]. Average for the industry but no exceptional data. Insider Buying (1/2): Simply Wall St flagged insider buying as a positive signal, and institutional interest is growing (Bank of Montreal disclosed a 7% stake) [3]. However, activist investor Reference Equity has urged CBIZ to abandon buybacks and return to acquisitions, creating governance tension.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105% reflects significant leverage from the $1.99B debt load accumulated through the Marcum acquisition, against only $29.2M in cash [1]. ROE of 8.1% is below the 15% target, partially depressed by acquisition-related intangible amortization [1]. Organic revenue growth is modest at 0.6% YoY for H1 2026, though the 5-year CAGR of 22.86% reflects successful acquisition-driven growth [1]. The standout metrics are the very attractive forward P/E of 9.26 (well below the 20 target) and PEG of 0.76 (well below the 1.0 target), driven in part by the pending Grant Thornton acquisition providing a price floor [3]. Profit margin of 5.57% is characteristic of professional services but well below the 20% target [1]. The combination of cheap valuation metrics and strong 5-year growth rate drives a solid score despite balance sheet leverage and thin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CBIZ demonstrates finite game characteristics as viewed through Sinek's lens. The company's strategic arc — growing through acquisitions, optimizing operations, and ultimately selling to Grant Thornton for $5B — is the textbook finite game: playing to win this round rather than playing to keep playing indefinitely. CEO Grisko's strategic priorities focus on scale, market share, and shareholder value rather than a cause that transcends any single transaction. The Marcum acquisition was bold, but the subsequent decision to sell to Grant Thornton within two years suggests the strategy was always about building enterprise value for an exit, not advancing a Just Cause over decades.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CBIZ does not articulate a Just Cause in Sinek's framework. The company's stated priorities — revenue growth, national brand building, industry specialization, talent retention — are business objectives, not a vision of a future state so compelling that people would sacrifice to advance it [2]. The agreement to be acquired by Grant Thornton for $5B confirms that the company's purpose was to maximize enterprise value, which is the definition of a finite game [3]. Sinek would cite CBIZ as an example of a well-run company that played to win rather than played to endure.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CBIZ operates a stable organization with 9,575 employees, and CEO Grisko has provided consistent leadership through the transformative Marcum integration [2]. The strategic priority of 'attract and retain top talent' signals awareness of workforce importance. However, the ended employee stock purchase program removes a tool for employee alignment, and activist investor pressure (Reference Equity) may create organizational uncertainty [3]. Integration of Marcum's 5,000+ employees within a year is a meaningful organizational achievement, though no specific retention metrics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CBIZ's competitive language focuses on market position and scale — being 'the largest full-service professional services advisor of its kind' [1]. This is the language of winning market share, not learning from worthy rivals. The company frames competitors as targets to surpass through acquisitions rather than sources of improvement. The decision to sell to Grant Thornton further suggests the competitive frame is about scale and financial optimization.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Marcum acquisition in 2024 represented a meaningful evolution of CBIZ's business model, roughly doubling the company's revenue and expanding its capabilities from a regional to national platform [1]. This shows strategic flexibility and willingness to transform the organization. However, the change was additive (acquiring capabilities) rather than transformative (abandoning a core business), and the subsequent Grant Thornton sale suggests the flexibility was in service of financial optimization rather than a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$700M+ Marcum acquisition was a bold strategic bet that transformed CBIZ from a mid-sized professional services firm to the largest of its kind in the US [1]. Executing a complex integration while maintaining client relationships and managing activist investor pressure (Reference Equity) shows leadership discipline. However, the decision to sell to Grant Thornton within two years of the Marcum deal suggests the courageous move was ultimately in service of an exit, not a long-term commitment to building something enduring.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CBIZ offers a compelling near-term value proposition as an acquisition target: Grant Thornton's announced $5B all-cash acquisition provides a definitive price floor and clear path to value realization expected in Q4 2026 [3]. The company generated $2.77B in TTM revenue and $154.3M in profits, with H1 2026 GAAP EPS of $2.83 (up 9.7% YoY) and adjusted diluted EPS of $3.44 [1]. The forward P/E of 9.26 and PEG of 0.76 reflect an attractive valuation relative to growth, partially driven by deal arbitrage. The Marcum acquisition integration is largely complete, and the combined platform serves as the largest US middle-market professional services advisor, a position validated by Grant Thornton's strategic interest [2]. The 5-year revenue CAGR of 22.86% demonstrates a proven acquisition-driven growth engine.</w:t>
      </w:r>
    </w:p>
    <w:p>
      <w:pPr>
        <w:spacing w:after="120"/>
      </w:pPr>
      <w:r>
        <w:rPr>
          <w:rFonts w:ascii="Calibri" w:hAnsi="Calibri"/>
          <w:b w:val="0"/>
          <w:color w:val="3A4A28"/>
          <w:sz w:val="20"/>
        </w:rPr>
        <w:t>The bear case centers on deal risk and fundamental weakness: the Grant Thornton acquisition requires CBIZ shareholder approval and regulatory clearance, and any deal failure would leave CBIZ with $1.99B in debt, 0.6% organic revenue growth, and 5.57% profit margins — a challenging standalone profile [1][3]. Activist investor Reference Equity has publicly criticized CBIZ's capital allocation, creating governance noise that could complicate the deal process [3]. The professional services sector faces structural AI disruption risk that would compress margins and reduce headcount needs over the medium term. H1 2026 performance was mixed: while GAAP EPS grew 9.7%, Q2 net income fell 55.6% sequentially as the seasonal tax season ended, and adjusted EBITDA declined 3.8% [1]. If the Grant Thornton deal fails, the stock would need to be re-evaluated as a standalone entity with meaningful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Grant Thornton's $5B all-cash acquisition expected to close Q4 2026, creating the fifth-largest US professional services provider and delivering a significant premium for shareholders</w:t>
      </w:r>
    </w:p>
    <w:p>
      <w:pPr>
        <w:spacing w:before="40" w:after="40"/>
        <w:ind w:left="283"/>
      </w:pPr>
      <w:r>
        <w:rPr>
          <w:rFonts w:ascii="Calibri" w:hAnsi="Calibri"/>
          <w:b/>
          <w:color w:val="4A6B25"/>
          <w:sz w:val="20"/>
        </w:rPr>
        <w:t xml:space="preserve">2. </w:t>
      </w:r>
      <w:r>
        <w:rPr>
          <w:rFonts w:ascii="Calibri" w:hAnsi="Calibri"/>
          <w:b w:val="0"/>
          <w:color w:val="3A4A28"/>
          <w:sz w:val="20"/>
        </w:rPr>
        <w:t>Marcum integration completion unlocking cross-selling synergies across the combined 9,575-employee national platform, targeting low to mid-single digit organic revenue growth</w:t>
      </w:r>
    </w:p>
    <w:p>
      <w:pPr>
        <w:spacing w:before="40" w:after="40"/>
        <w:ind w:left="283"/>
      </w:pPr>
      <w:r>
        <w:rPr>
          <w:rFonts w:ascii="Calibri" w:hAnsi="Calibri"/>
          <w:b/>
          <w:color w:val="4A6B25"/>
          <w:sz w:val="20"/>
        </w:rPr>
        <w:t xml:space="preserve">3. </w:t>
      </w:r>
      <w:r>
        <w:rPr>
          <w:rFonts w:ascii="Calibri" w:hAnsi="Calibri"/>
          <w:b w:val="0"/>
          <w:color w:val="3A4A28"/>
          <w:sz w:val="20"/>
        </w:rPr>
        <w:t>AI tool deployment across audit, tax, and consulting services improving productivity margins and competitive positioning against both traditional firms and technology-driven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Grant Thornton acquisition failure due to regulatory or shareholder hurdles would leave CBIZ as a standalone entity with $1.99B debt, sub-1% organic growth, and activist investor pressure</w:t>
      </w:r>
    </w:p>
    <w:p>
      <w:pPr>
        <w:spacing w:before="40" w:after="40"/>
        <w:ind w:left="283"/>
      </w:pPr>
      <w:r>
        <w:rPr>
          <w:rFonts w:ascii="Calibri" w:hAnsi="Calibri"/>
          <w:b/>
          <w:color w:val="4A6B25"/>
          <w:sz w:val="20"/>
        </w:rPr>
        <w:t xml:space="preserve">2. </w:t>
      </w:r>
      <w:r>
        <w:rPr>
          <w:rFonts w:ascii="Calibri" w:hAnsi="Calibri"/>
          <w:b w:val="0"/>
          <w:color w:val="3A4A28"/>
          <w:sz w:val="20"/>
        </w:rPr>
        <w:t>AI disruption of core accounting, tax, and audit services — routine compliance and preparation work increasingly automatable by AI tools, compressing fees and headcount needs across the industry</w:t>
      </w:r>
    </w:p>
    <w:p>
      <w:pPr>
        <w:spacing w:before="40" w:after="40"/>
        <w:ind w:left="283"/>
      </w:pPr>
      <w:r>
        <w:rPr>
          <w:rFonts w:ascii="Calibri" w:hAnsi="Calibri"/>
          <w:b/>
          <w:color w:val="4A6B25"/>
          <w:sz w:val="20"/>
        </w:rPr>
        <w:t xml:space="preserve">3. </w:t>
      </w:r>
      <w:r>
        <w:rPr>
          <w:rFonts w:ascii="Calibri" w:hAnsi="Calibri"/>
          <w:b w:val="0"/>
          <w:color w:val="3A4A28"/>
          <w:sz w:val="20"/>
        </w:rPr>
        <w:t>Activist investor Reference Equity's public criticism of capital allocation and strategic direction could complicate the deal process or create organizational uncertainty during the transition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CBIZ's core services — tax preparation, audit, benefits administration, insurance brokerage, and financial consulting — face material AI substitution risk. AI tools (TurboTax-style automation, AI-powered audit analytics, automated compliance checking) are already partially replacing routine professional services work. The middle-market segment is particularly exposed as smaller engagements become cost-prohibitive against AI alternatives [2]. CBIZ is adapting by integrating AI into its own service delivery, but the outcome is uncertain. The benefits administration and insurance brokerage segments have somewhat more defensible moats due to regulatory complexity and relationship-driven selling, but the accounting and tax core faces real headwinds. Analysts have broadly flagged professional services as an AI disruption zone. AI Opportunity (1/1): CBIZ is actively deploying AI across audit, tax, and consulting services, with expanded teams focused on innovation and operational efficiency [2]. While specific AI revenue figures are not quantified, the integration of AI tools across the platform generates measurable productivity gains.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CBIZ Q1 and Q2 2026 Earnings Releases and H1 2026 Financial Results — CBIZ Investor Relations, GlobeNewsWire, July 2026</w:t>
      </w:r>
    </w:p>
    <w:p>
      <w:pPr>
        <w:spacing w:before="20" w:after="20"/>
        <w:ind w:left="170"/>
      </w:pPr>
      <w:r>
        <w:rPr>
          <w:rFonts w:ascii="Calibri" w:hAnsi="Calibri"/>
          <w:b/>
          <w:color w:val="4A6B25"/>
          <w:sz w:val="15"/>
        </w:rPr>
        <w:t xml:space="preserve">2. </w:t>
      </w:r>
      <w:r>
        <w:rPr>
          <w:rFonts w:ascii="Calibri" w:hAnsi="Calibri"/>
          <w:b w:val="0"/>
          <w:color w:val="3A4A28"/>
          <w:sz w:val="17"/>
        </w:rPr>
        <w:t>CBIZ Strategic Priorities, AI Innovation, and Marcum Integration — CBIZ.com, Capital Analytics Associates, AInvest,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Grant Thornton Acquisition of CBIZ, Insider Buying, and Activist Investor Activity — InsidePublicAccounting, Simply Wall St, Bloomberg,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