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CCO</w:t>
      </w:r>
      <w:r>
        <w:rPr>
          <w:rFonts w:ascii="Calibri" w:hAnsi="Calibri"/>
          <w:b/>
          <w:color w:val="1A2010"/>
          <w:sz w:val="40"/>
        </w:rPr>
        <w:t xml:space="preserve">  Clear Channel Outdoor Holdings, Inc.</w:t>
      </w:r>
    </w:p>
    <w:p>
      <w:pPr>
        <w:spacing w:after="120"/>
      </w:pPr>
      <w:r>
        <w:rPr>
          <w:rFonts w:ascii="Calibri" w:hAnsi="Calibri"/>
          <w:b/>
          <w:color w:val="6E8450"/>
          <w:sz w:val="18"/>
        </w:rPr>
        <w:t>GROWTH SLEEVE · 2026-08-22 · Inspire: 54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Outdoor Advertising · NYSE · United States</w:t>
      </w:r>
    </w:p>
    <w:p>
      <w:pPr>
        <w:spacing w:after="80"/>
      </w:pPr>
      <w:r>
        <w:rPr>
          <w:rFonts w:ascii="Calibri" w:hAnsi="Calibri"/>
          <w:b w:val="0"/>
          <w:color w:val="3A4A28"/>
          <w:sz w:val="20"/>
        </w:rPr>
        <w:t>Clear Channel Outdoor is one of the world's largest out-of-home (OOH) media companies, operating billboards, transit advertising, and digital displays across the United States and 19 countries. The company operates in 43 of the top 50 US markets and has been aggressively converting its portfolio to digital displays, which now represent 44.6% of total revenue. Q2 2026 revenue grew 8.7% YoY to $438M, with AFFO up 61.6%. However, the company carries $6.47B in total debt against negative equity of -$3.46B and is being acquired by a Mubadala Capital/TWG Global consortium at $2.43 per share, with closure expected by end of Q3 2026 [1][2].</w:t>
      </w:r>
    </w:p>
    <w:p>
      <w:r>
        <w:rPr>
          <w:rFonts w:ascii="Calibri" w:hAnsi="Calibri"/>
          <w:b/>
          <w:color w:val="6E8450"/>
          <w:sz w:val="18"/>
        </w:rPr>
        <w:t>4,500 Employees · https://www.clearchanneloutdoor.com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Clear Channel has executed a meaningful but industry-standard digital transformation, growing digital revenue to 44.6% of total revenue with 10.2% digital growth in Q2 2026 [1]. However, this transition is common across OOH peers (Lamar, JCDecaux, OUTFRONT) and does not represent a company-defining innovation or business model transformation. AI Deployment (0/2): No evidence of AI-powered products shipping to customers or quantified AI-driven efficiency gains. The CTO's role includes emerging technologies and automation, but no specific AI deployment with measurable results was identified [2]. Market Share (2/2): Clear Channel is one of the world's largest OOH media companies, operating in 43 of the top 50 US markets with significant presence in 19 countries [2]. The Airports segment is a particular strength, with revenue up 14% and EBITDA up 22.8% in Q2 [1]. Product Pipeline (1/2): Continued digital display conversion provides a clear pipeline, and the programmatic OOH advertising capability is expanding. However, the pending acquisition by Mubadala/TWG creates uncertainty about post-acquisition product strategy [2]. R&amp;D Intensity (0/1): As an advertising media company, Clear Channel's technology investment is modest and not differentiated from industry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Clear Channel's purpose centers on helping brands connect with real-world audiences through OOH advertising. This is functional and describes what the company does, but it is entirely generic and interchangeable with any media company [2]. There is no articulated vision of a better future or deeper purpose beyond selling advertising inventory. Community Impact (0/2): No evidence of significant charitable programs, community investment, or foundation activity beyond standard corporate practices. The company joined the UN Global Compact and completed Life Cycle Assessments, but these are baseline ESG compliance measures rather than distinctive community investment [3]. Employee Retention (0/2): No retention data available. The pending acquisition creates significant organizational uncertainty. Insider Buying (1/2): Board member Arturo R. Moreno purchased 23,334 shares in 2025, representing modest but genuine insider conviction in the company's recovery story [2]. However, with the stock trading near the $2.43 acquisition price, the risk-reward for insider buying is minimal.</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Clear Channel's infrastructure is crippled by its balance sheet — $6.47B in total debt against negative shareholders' equity of -$3.46B, making D/E effectively undefined and scoring 0 [4]. ROE is not calculable with negative equity (score 0). Profit margin of -6.31% falls below the 0% floor, scoring 0 [4]. The bright spots are revenue growth YoY of 8.7% (scoring 0.96) and estimated 5-year CAGR of ~4.5% (scoring 0.63 with 2x weight) [1]. Forward P/E and PEG are unavailable as the company is unprofitable on a GAAP basis, reducing the scoring base. Enterprise value of $7.49B against market cap of only $1.21B highlights the massive debt overhang [4]. The stock clears the liquidity floor with ~$26M in daily trading value. The Altman Z-Score of -1.72 signals severe financial distress.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Clear Channel is playing a definitionally finite game — the company is being acquired by a private consortium (Mubadala Capital/TWG Global) at $2.43/share, effectively ending its independent public existence [2]. The massive $6.47B debt load that led to negative equity reflects years of leveraged financial engineering from the 2008 iHeartMedia/Clear Channel LBO era, not infinite game investment. While the digital transformation and revenue growth show operational competence, the company never articulated a compelling Just Cause beyond selling advertising, and the acceptance of a below-book acquisition signals leadership's acknowledgment that the independent path was unsustainable under the current capital structure.</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Clear Channel does not articulate a Just Cause in Sinek's framework. The company's purpose is functional — connecting brands with audiences through OOH media — but this describes a business model, not a vision of a future so appealing that people would sacrifice to advance it [2]. The pending acquisition at $2.43/share, representing a fraction of the company's enterprise value, suggests leadership views the business as a financial asset to be optimized rather than a cause to be advanced. No evidence of purpose-driven strategic decisions or cultural commitment to something beyond financial performance.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Scott Wells has provided stable leadership since 2022, and the company has maintained operational continuity through the digital transformation and debt restructuring [2]. The workforce has delivered consistent revenue growth (8.7% in Q2) despite the organizational uncertainty of a pending acquisition, suggesting functional team trust. However, no specific evidence of psychological safety, employee empowerment, or trust-building culture was identified, and the acquisition-related uncertainty inevitably undermines long-term organizational commitment.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worthy rivals thinking was found. Clear Channel's competitive positioning focuses on market share metrics (43 of top 50 markets, presence in 19 countries) and digital conversion rates rather than learning from competitors' strengths [1]. The OOH industry's competitive dynamics — dominated by Lamar, JCDecaux, and OUTFRONT — are largely about scale and location quality rather than strategic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Clear Channel has executed a meaningful shift from legacy print billboards to digital displays, with digital now representing 44.6% of revenue and growing 10.2% [1]. The sale of the Spain business for $132.3M to reduce debt demonstrates willingness to prune the portfolio [2]. However, accepting an acquisition by a PE consortium rather than continuing to transform independently suggests the company reached the limits of its existential flexibility under the current capital structure.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Selling the Spain business for $132.3M to reduce debt and managing operations under $6.47B in total debt requires pragmatic courage and disciplined execution [2]. CEO Wells navigated the company through COVID recovery and accelerated the digital transformation. However, ultimately accepting a take-private acquisition at $2.43/share — a fraction of enterprise value — reflects acceptance of financial constraints rather than courageous long-term investment in the independent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Clear Channel at $2.38 is effectively a merger arbitrage play with limited upside — the stock trades within 2% of the $2.43/share acquisition price from the Mubadala Capital/TWG Global consortium, with closure expected by end of Q3 2026 [2]. The underlying business shows genuine operational improvement: Q2 2026 revenue grew 8.7% to $438M, adjusted EBITDA rose 11.6% to $143.4M, and AFFO surged 61.6% to $44.9M, driven by digital conversion (44.6% of revenue) and strong airport advertising demand (+14% revenue, +22.8% EBITDA) [1]. The Inspire Impact Score of 54 (ALIGNED) with no negative attributions is attractive for faith-based investors. The sale of the Spain business for $132.3M demonstrates pragmatic debt management. As a going concern, the business generates meaningful free cash flow ($84M TTM) against a $1.21B market cap.</w:t>
      </w:r>
    </w:p>
    <w:p>
      <w:pPr>
        <w:spacing w:after="120"/>
      </w:pPr>
      <w:r>
        <w:rPr>
          <w:rFonts w:ascii="Calibri" w:hAnsi="Calibri"/>
          <w:b w:val="0"/>
          <w:color w:val="3A4A28"/>
          <w:sz w:val="20"/>
        </w:rPr>
        <w:t>The bear case is dominated by the capital structure and acquisition dynamics. The $6.47B in total debt against negative equity of -$3.46B creates a balance sheet that is structurally unsustainable as a public company — the Altman Z-Score of -1.72 signals severe financial distress [4]. Enterprise value of $7.49B against market cap of only $1.21B means debt holders own the vast majority of the company's value. GAAP net loss of $106M TTM and profit margin of -6.31% show the debt service burden overwhelms operating income. The acquisition at $2.43/share prices equity holders at a discount to underlying asset value, but the alternative — continued operation under crushing debt — offered no path to equity value creation. For investors not engaged in merger arbitrage, the stock offers minimal upside (2% to the $2.43 deal price) and regulatory approval risk. The company's finite game outcome (being acquired) makes it unsuitable as a long-term IOWN holding.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closure expected by end of Q3 2026 at $2.43/share would deliver a modest ~2% return from the current $2.38 price, with the primary catalyst being regulatory approval and shareholder vote completion [2]</w:t>
      </w:r>
    </w:p>
    <w:p>
      <w:pPr>
        <w:spacing w:before="40" w:after="40"/>
        <w:ind w:left="283"/>
      </w:pPr>
      <w:r>
        <w:rPr>
          <w:rFonts w:ascii="Calibri" w:hAnsi="Calibri"/>
          <w:b/>
          <w:color w:val="4A6B25"/>
          <w:sz w:val="20"/>
        </w:rPr>
        <w:t xml:space="preserve">2. </w:t>
      </w:r>
      <w:r>
        <w:rPr>
          <w:rFonts w:ascii="Calibri" w:hAnsi="Calibri"/>
          <w:b w:val="0"/>
          <w:color w:val="3A4A28"/>
          <w:sz w:val="20"/>
        </w:rPr>
        <w:t>If the merger fails, the underlying business fundamentals — 8.7% revenue growth, 61.6% AFFO growth, and expanding digital revenue (44.6% of total) — could support a higher standalone valuation if combined with debt restructuring [1]</w:t>
      </w:r>
    </w:p>
    <w:p>
      <w:pPr>
        <w:spacing w:before="40" w:after="40"/>
        <w:ind w:left="283"/>
      </w:pPr>
      <w:r>
        <w:rPr>
          <w:rFonts w:ascii="Calibri" w:hAnsi="Calibri"/>
          <w:b/>
          <w:color w:val="4A6B25"/>
          <w:sz w:val="20"/>
        </w:rPr>
        <w:t xml:space="preserve">3. </w:t>
      </w:r>
      <w:r>
        <w:rPr>
          <w:rFonts w:ascii="Calibri" w:hAnsi="Calibri"/>
          <w:b w:val="0"/>
          <w:color w:val="3A4A28"/>
          <w:sz w:val="20"/>
        </w:rPr>
        <w:t>Airport advertising segment momentum (revenue +14%, EBITDA +22.8%) could accelerate further as global air travel growth continues, providing a high-margin growth engine independent of the broader billboard business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regulatory risk — any delay or failure of the Mubadala/TWG acquisition could send the stock sharply lower, as the $6.47B debt load makes the standalone equity story precarious with negative equity and a -1.72 Altman Z-Score [2][4]</w:t>
      </w:r>
    </w:p>
    <w:p>
      <w:pPr>
        <w:spacing w:before="40" w:after="40"/>
        <w:ind w:left="283"/>
      </w:pPr>
      <w:r>
        <w:rPr>
          <w:rFonts w:ascii="Calibri" w:hAnsi="Calibri"/>
          <w:b/>
          <w:color w:val="4A6B25"/>
          <w:sz w:val="20"/>
        </w:rPr>
        <w:t xml:space="preserve">2. </w:t>
      </w:r>
      <w:r>
        <w:rPr>
          <w:rFonts w:ascii="Calibri" w:hAnsi="Calibri"/>
          <w:b w:val="0"/>
          <w:color w:val="3A4A28"/>
          <w:sz w:val="20"/>
        </w:rPr>
        <w:t>Crushing debt burden of $6.47B with interest costs consuming operating cash flow — if the merger fails, the company faces continued negative GAAP profitability and limited financial flexibility for investment in digital conversion or geographic expansion [4]</w:t>
      </w:r>
    </w:p>
    <w:p>
      <w:pPr>
        <w:spacing w:before="40" w:after="40"/>
        <w:ind w:left="283"/>
      </w:pPr>
      <w:r>
        <w:rPr>
          <w:rFonts w:ascii="Calibri" w:hAnsi="Calibri"/>
          <w:b/>
          <w:color w:val="4A6B25"/>
          <w:sz w:val="20"/>
        </w:rPr>
        <w:t xml:space="preserve">3. </w:t>
      </w:r>
      <w:r>
        <w:rPr>
          <w:rFonts w:ascii="Calibri" w:hAnsi="Calibri"/>
          <w:b w:val="0"/>
          <w:color w:val="3A4A28"/>
          <w:sz w:val="20"/>
        </w:rPr>
        <w:t>Secular shift of advertising budgets toward AI-optimized digital platforms (Google, Meta, Amazon) could compress OOH's share of total advertising spend over time, particularly for print billboard inventory that cannot match digital targeting precision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Clear Channel's core business operates physical outdoor advertising infrastructure — billboards, transit displays, airport screens, and street furniture — that AI cannot digitally substitute [1]. People encounter OOH advertising in the physical world, and no AI tool can replicate the experience of seeing a billboard on a highway or a digital display in an airport terminal. This structural physical moat provides strong protection from AI disruption. However, AI-powered digital advertising platforms (Google, Meta, programmatic display) are increasingly competing for the same advertising budgets, and AI-optimized ad targeting could shift incremental ad dollars away from OOH toward digital channels with superior measurement and attribution. The advertising industry broadly faces AI-driven disruption in creative production, media planning, and budget allocation that could reduce OOH's share of total ad spend. AI Opportunity (0/1): No evidence of meaningful AI-generated revenue. While Clear Channel's CTO leads emerging tech initiatives, no specific AI products or quantified AI revenue contribution was identified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Clear Channel Outdoor Q2 2026 Earnings — Revenue $438M (+8.7%), Adjusted EBITDA $143.4M (+11.6%), AFFO $44.9M (+61.6%), Digital Revenue 44.6% of Total, Airport Revenue +14%, August 2026</w:t>
      </w:r>
    </w:p>
    <w:p>
      <w:pPr>
        <w:spacing w:before="20" w:after="20"/>
        <w:ind w:left="170"/>
      </w:pPr>
      <w:r>
        <w:rPr>
          <w:rFonts w:ascii="Calibri" w:hAnsi="Calibri"/>
          <w:b/>
          <w:color w:val="4A6B25"/>
          <w:sz w:val="15"/>
        </w:rPr>
        <w:t xml:space="preserve">2. </w:t>
      </w:r>
      <w:r>
        <w:rPr>
          <w:rFonts w:ascii="Calibri" w:hAnsi="Calibri"/>
          <w:b w:val="0"/>
          <w:color w:val="3A4A28"/>
          <w:sz w:val="17"/>
        </w:rPr>
        <w:t>Clear Channel Outdoor Merger &amp; Strategy — Mubadala Capital/TWG Global Acquisition at $2.43/share, Spain Business Sale $132.3M, CEO Scott Wells, Digital Transformation — StockTitan, Investor Relations, 2025-2026</w:t>
      </w:r>
    </w:p>
    <w:p>
      <w:pPr>
        <w:spacing w:before="20" w:after="20"/>
        <w:ind w:left="170"/>
      </w:pPr>
      <w:r>
        <w:rPr>
          <w:rFonts w:ascii="Calibri" w:hAnsi="Calibri"/>
          <w:b/>
          <w:color w:val="4A6B25"/>
          <w:sz w:val="15"/>
        </w:rPr>
        <w:t xml:space="preserve">3. </w:t>
      </w:r>
      <w:r>
        <w:rPr>
          <w:rFonts w:ascii="Calibri" w:hAnsi="Calibri"/>
          <w:b w:val="0"/>
          <w:color w:val="3A4A28"/>
          <w:sz w:val="17"/>
        </w:rPr>
        <w:t>Clear Channel Outdoor ESG — 2024 ESG Report, UN Global Compact, Life Cycle Assessments, Equal Opportunity Employer — Investor Relations, CSRHub,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Yahoo Finance — CCO Key Statistics: Stock Price $2.38, Market Cap $1.21B, EV $7.49B, Total Debt $6.47B, Negative Equity -$3.46B, Altman Z-Score -1.72,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