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CDE</w:t>
      </w:r>
      <w:r>
        <w:rPr>
          <w:rFonts w:ascii="Calibri" w:hAnsi="Calibri"/>
          <w:b/>
          <w:color w:val="1A2010"/>
          <w:sz w:val="40"/>
        </w:rPr>
        <w:t xml:space="preserve">  Coeur Mining, Inc.</w:t>
      </w:r>
    </w:p>
    <w:p>
      <w:pPr>
        <w:spacing w:after="120"/>
      </w:pPr>
      <w:r>
        <w:rPr>
          <w:rFonts w:ascii="Calibri" w:hAnsi="Calibri"/>
          <w:b/>
          <w:color w:val="6E8450"/>
          <w:sz w:val="18"/>
        </w:rPr>
        <w:t>GROWTH SLEEVE · 2026-08-12 · Inspire: 57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&amp; Silver Mining · NYSE · United States</w:t>
      </w:r>
    </w:p>
    <w:p>
      <w:pPr>
        <w:spacing w:after="80"/>
      </w:pPr>
      <w:r>
        <w:rPr>
          <w:rFonts w:ascii="Calibri" w:hAnsi="Calibri"/>
          <w:b w:val="0"/>
          <w:color w:val="3A4A28"/>
          <w:sz w:val="20"/>
        </w:rPr>
        <w:t>Coeur Mining is a diversified precious metals producer operating gold, silver, and copper mines across North America. Following its transformative acquisition of New Gold (Rainy River, New Afton), Coeur has approximately doubled its production and revenue base, reporting record Q2 2026 revenue of $1.09B (+126% YoY) and Q1 2026 revenue of $856M (+138% YoY). The company operates mines at Rochester (Nevada), Kensington (Alaska), Wharf (South Dakota), and the newly integrated Rainy River and New Afton operations in Canada. At forecast gold prices of $4,000/oz, Coeur expects 2026 EBITDA of approximately $2.3B and free cash flow of $1.5B. CEO Mitchell Krebs has led the company since 2011.</w:t>
      </w:r>
    </w:p>
    <w:p>
      <w:r>
        <w:rPr>
          <w:rFonts w:ascii="Calibri" w:hAnsi="Calibri"/>
          <w:b/>
          <w:color w:val="6E8450"/>
          <w:sz w:val="18"/>
        </w:rPr>
        <w:t>4,500 Employees · https://www.coeur.com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Coeur executed a transformative acquisition strategy through the Las Chispas purchase and the New Gold transaction (adding Rainy River and New Afton), approximately doubling revenue from $1.05B (2024) to $2.07B (2025) and diversifying from a mid-tier silver miner into a diversified gold-silver-copper producer with record Q2 2026 revenue of $1.09B [1][2]. AI Deployment (0/2): No evidence of AI-powered products or quantified AI-driven operational savings; mining industry AI adoption for geological modeling and processing optimization remains in early stages with no Coeur-specific deployments identified. Market Share (1/2): Coeur ranks among the top 10 North American precious metals producers following the New Gold integration, a meaningful and growing player though not a category leader relative to Newmont, Barrick, or Agnico Eagle [1]. Product Pipeline (1/2): Record exploration spending in 2026 targets resource expansion across the portfolio, with mine development projects at Rochester and Silvertip providing production growth visibility, but specific next-generation timelines with revenue forecasts are not publicly detailed [2]. R&amp;D Intensity (1/1): Record exploration expenditures in 2026 position Coeur above the mining industry average for reinvestment in future resource development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Coeur's stated ethos 'We Pursue a Higher Standard' is aspirational and connects mining to responsible stewardship, but remains generic enough to be interchangeable with any peer — it does not articulate a vision of a future state beyond operational excellence. Community Impact (1/2): Coeur adopted a formal Indigenous Peoples Policy and publishes ESG reports; the company achieved the lowest Total Reportable Injury Frequency Rate (0.46) among mining peers, and GISTM tailings management standards adoption demonstrates commitment beyond baseline compliance [5]. Employee Retention (1/2): CEO Mitchell Krebs holds a 91% Glassdoor approval rating and has led the company for 15 years, providing leadership stability; culture scores 3.8/5.0, suggesting adequate but not exceptional employee satisfaction [4]. No specific turnover or tenure data available. Insider Buying (0/2): No evidence of meaningful net insider buying by executives identified in the research period.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Coeur's financial profile is exceptionally strong, powered by transformative acquisitions and elevated precious metals prices [1][2]. D/E of 8.8% is far below the 70% target, reflecting a conservatively leveraged balance sheet. ROE of 12.85% falls modestly short of the 15% target (scoring 0.86), the only metric below maximum. Revenue growth YoY of 96.4% (2025 full year) and estimated 5-year CAGR of ~22% both massively exceed targets, though growth is largely acquisition-driven. Forward P/E of 9.37x is well below the 20x target, offering attractive valuation. Profit margin of 26.82% exceeds the 20% target, reflecting operating leverage at $4,000/oz gold. PEG ratio unavailable and excluded. Liquidity floor easily cleared at ~$722M daily dollar volume (38.8M shares x $18.58)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Coeur Mining operates with a pragmatic, finite orientation — the company is focused on maximizing production, growing through acquisitions, and returning capital to shareholders via its new $750M buyback program and inaugural dividend (first in 30 years). While CEO Mitchell Krebs has provided stable 15-year leadership and the transformative New Gold acquisition demonstrates strategic ambition, the company lacks a distinctive Just Cause beyond responsible mining. The competitive language centers on production growth, cost reduction, and shareholder returns rather than a vision of a better future. The safety record and Indigenous Peoples Policy show genuine stakeholder commitment, but fall short of infinite game thinking.</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Coeur's 'We Pursue a Higher Standard' exists as an aspirational ethos but reads as marketing — interchangeable with any responsible mining peer. The company's strategic narrative centers on production growth, EBITDA generation, and shareholder returns rather than an aspirational vision of the future [1][2]. Leadership does not reference a deeper purpose when discussing strategic decisions; the New Gold acquisition was justified by production scale and cost synergies, not by advancing a cause beyond mining profitably.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Mitchell Krebs has provided stable leadership since 2011 with a 91% Glassdoor approval rating, and the company achieved the lowest TRIFR safety rate (0.46) among mining peers, indicating genuine commitment to worker wellbeing [4][5]. However, Glassdoor reviews reveal organizational tensions — some employees cite executives 'fighting tooth and nail for territory' and poor inter-level communication. The workforce is stable enough to operate complex mining operations across multiple sites, but no evidence of exceptional trust distinguishes Coeur from industry norms.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Coeur's competitive language is oriented toward production growth, cost competitiveness, and scale-building through acquisitions — a finite competitive mindset focused on capturing assets and market position [1][2]. No evidence of management commentary referencing worthy rivals, acknowledging competitors' strengths, or framing competitive pressure as motivation for self-improvement was identified. The acquisition strategy is about getting bigger, not getting better through competitive learning.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Coeur has meaningfully evolved its business model through the Las Chispas and New Gold acquisitions, transforming from a mid-tier silver-focused miner into a diversified gold-silver-copper producer with approximately double the revenue base [1][2]. Entry into copper production via New Afton and the Rochester expansion demonstrate willingness to enter adjacent markets. However, the transformation is incremental — Coeur remains a precious metals mining company, just a larger and more diversified one.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New Gold acquisition was a bold strategic move that significantly increased Coeur's scale and complexity, requiring substantial integration risk and capital commitment while the company was already performing at record levels [1]. Implementing GISTM tailings management standards ahead of most peers and adopting a formal Indigenous Peoples Policy before regulation required it demonstrate principled decisions [5]. Record exploration spending while simultaneously integrating major acquisitions shows willingness to invest for the long term. However, these decisions were made during a favorable precious metals price environment.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Coeur Mining at 9.37x forward earnings offers compelling value exposure to elevated precious metals prices, with the transformative New Gold acquisition creating a diversified production platform generating record revenue of $1.09B in Q2 2026 (+126% YoY) and $856M in Q1 2026 (+138% YoY) [1][2]. At forecast gold of $4,000/oz, silver of $60/oz, and copper of $6/lb, management guides to $2.3B EBITDA and $1.5B free cash flow for 2026 — a free cash flow yield exceeding 10% on the current market cap. The balance sheet is conservatively structured with D/E of just 8.8%, profit margins of 26.82%, and the company has initiated a $750M buyback program and its first dividend in 30 years, signaling confidence in sustained cash generation [3]. CEO Mitchell Krebs has executed a multi-year transformation from a subscale silver miner into a top-10 North American precious metals producer.</w:t>
      </w:r>
    </w:p>
    <w:p>
      <w:pPr>
        <w:spacing w:after="120"/>
      </w:pPr>
      <w:r>
        <w:rPr>
          <w:rFonts w:ascii="Calibri" w:hAnsi="Calibri"/>
          <w:b w:val="0"/>
          <w:color w:val="3A4A28"/>
          <w:sz w:val="20"/>
        </w:rPr>
        <w:t>The bear case centers on commodity price dependency, acquisition integration risk, and environmental liabilities. Coeur's revenue and cash flow projections are highly sensitive to precious metals prices — the $2.3B EBITDA guidance assumes gold at $4,000/oz, and a meaningful correction to 2024 levels (~$2,300/oz) would compress EBITDA by 50%+ and eliminate the free cash flow supporting buybacks and the inaugural dividend [2]. The massive revenue growth (96% YoY in 2025, 126% Q2 2026) is entirely acquisition-driven, not organic, raising execution risk across geographically dispersed mine sites. The EPA settlement over Kensington mine pollution (200+ wastewater violations, unauthorized acid rock drainage) exposes ongoing environmental compliance risks inherent to mining [5]. ROE of 12.85% remains below the 15% target, suggesting acquired assets have not yet achieved full capital efficiency. The Inspire Impact Score of 57 (ALIGNED) is a positive for faith-based investors, but mining's inherent cyclicality and commodity price dependency make this a precious metals bet rather than a structural growth story.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integration synergies from Rainy River and New Afton driving 2026 EBITDA toward $2.3B guidance, with Q2 2026 representing the first full-quarter contribution from acquired assets at $1.09B revenue (+126% YoY) [1][2]</w:t>
      </w:r>
    </w:p>
    <w:p>
      <w:pPr>
        <w:spacing w:before="40" w:after="40"/>
        <w:ind w:left="283"/>
      </w:pPr>
      <w:r>
        <w:rPr>
          <w:rFonts w:ascii="Calibri" w:hAnsi="Calibri"/>
          <w:b/>
          <w:color w:val="4A6B25"/>
          <w:sz w:val="20"/>
        </w:rPr>
        <w:t xml:space="preserve">2. </w:t>
      </w:r>
      <w:r>
        <w:rPr>
          <w:rFonts w:ascii="Calibri" w:hAnsi="Calibri"/>
          <w:b w:val="0"/>
          <w:color w:val="3A4A28"/>
          <w:sz w:val="20"/>
        </w:rPr>
        <w:t>Sustained elevated gold prices ($4,000+/oz) and silver prices ($60+/oz) providing significant operating leverage on the expanded production base, with incremental gold price increases flowing directly to free cash flow [2]</w:t>
      </w:r>
    </w:p>
    <w:p>
      <w:pPr>
        <w:spacing w:before="40" w:after="40"/>
        <w:ind w:left="283"/>
      </w:pPr>
      <w:r>
        <w:rPr>
          <w:rFonts w:ascii="Calibri" w:hAnsi="Calibri"/>
          <w:b/>
          <w:color w:val="4A6B25"/>
          <w:sz w:val="20"/>
        </w:rPr>
        <w:t xml:space="preserve">3. </w:t>
      </w:r>
      <w:r>
        <w:rPr>
          <w:rFonts w:ascii="Calibri" w:hAnsi="Calibri"/>
          <w:b w:val="0"/>
          <w:color w:val="3A4A28"/>
          <w:sz w:val="20"/>
        </w:rPr>
        <w:t>Record exploration spending in 2026 targeting resource expansion that could extend mine lives and support production growth beyond current plans, particularly at Rochester and Silvertip operations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Commodity price dependency — Coeur's $2.3B EBITDA guidance assumes gold at $4,000/oz; a correction to 2024 levels (~$2,300/oz) would compress EBITDA by 50%+ and potentially eliminate the free cash flow supporting the $750M buyback and inaugural dividend [2]</w:t>
      </w:r>
    </w:p>
    <w:p>
      <w:pPr>
        <w:spacing w:before="40" w:after="40"/>
        <w:ind w:left="283"/>
      </w:pPr>
      <w:r>
        <w:rPr>
          <w:rFonts w:ascii="Calibri" w:hAnsi="Calibri"/>
          <w:b/>
          <w:color w:val="4A6B25"/>
          <w:sz w:val="20"/>
        </w:rPr>
        <w:t xml:space="preserve">2. </w:t>
      </w:r>
      <w:r>
        <w:rPr>
          <w:rFonts w:ascii="Calibri" w:hAnsi="Calibri"/>
          <w:b w:val="0"/>
          <w:color w:val="3A4A28"/>
          <w:sz w:val="20"/>
        </w:rPr>
        <w:t>Environmental compliance risk — EPA settlement at Kensington mine over 200+ wastewater violations and unauthorized acid rock drainage demonstrates ongoing regulatory exposure across multiple mine sites that could result in operational suspensions or remediation costs [5]</w:t>
      </w:r>
    </w:p>
    <w:p>
      <w:pPr>
        <w:spacing w:before="40" w:after="40"/>
        <w:ind w:left="283"/>
      </w:pPr>
      <w:r>
        <w:rPr>
          <w:rFonts w:ascii="Calibri" w:hAnsi="Calibri"/>
          <w:b/>
          <w:color w:val="4A6B25"/>
          <w:sz w:val="20"/>
        </w:rPr>
        <w:t xml:space="preserve">3. </w:t>
      </w:r>
      <w:r>
        <w:rPr>
          <w:rFonts w:ascii="Calibri" w:hAnsi="Calibri"/>
          <w:b w:val="0"/>
          <w:color w:val="3A4A28"/>
          <w:sz w:val="20"/>
        </w:rPr>
        <w:t>Acquisition integration complexity across geographically dispersed mine sites strains management bandwidth and creates execution risk in achieving projected synergies and cost targets amid 3-5% cost inflation guidance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Precious metals mining is structurally immune to AI disruption — the core business involves physical extraction, chemical processing, and transportation of gold, silver, and copper from underground and open-pit mines, operations that AI cannot substitute or displace [1]. Coeur's revenue is tied to commodity production volumes and prices, not knowledge work or digital services. AI data center proliferation increases demand for metals, energy infrastructure, and the silver used in electronics and solar panels, making mining an indirect AI beneficiary. No analysts have flagged AI as a substitution risk for precious metals miners. AI Opportunity (0/1): Coeur does not generate revenue from AI products or services. While the mining industry is adopting AI for geological modeling and processing optimization, Coeur has not reported specific AI-related revenue or quantified AI-driven cost savings.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57</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Coeur Mining Q2 2026 Earnings Release — Record Revenue $1.09B (+126% YoY), Net Income $121.9M, EPS $0.12, First Full-Quarter Rainy River/New Afton Contributions, August 2026</w:t>
      </w:r>
    </w:p>
    <w:p>
      <w:pPr>
        <w:spacing w:before="20" w:after="20"/>
        <w:ind w:left="170"/>
      </w:pPr>
      <w:r>
        <w:rPr>
          <w:rFonts w:ascii="Calibri" w:hAnsi="Calibri"/>
          <w:b/>
          <w:color w:val="4A6B25"/>
          <w:sz w:val="15"/>
        </w:rPr>
        <w:t xml:space="preserve">2. </w:t>
      </w:r>
      <w:r>
        <w:rPr>
          <w:rFonts w:ascii="Calibri" w:hAnsi="Calibri"/>
          <w:b w:val="0"/>
          <w:color w:val="3A4A28"/>
          <w:sz w:val="17"/>
        </w:rPr>
        <w:t>Coeur Mining Q1 2026 Earnings Release — Revenue $856.2M (+138% YoY), Net Income $246.8M, EPS $0.35, 2026 Guidance: EBITDA $2.3B, FCF $1.5B, April 2026</w:t>
      </w:r>
    </w:p>
    <w:p>
      <w:pPr>
        <w:spacing w:before="20" w:after="20"/>
        <w:ind w:left="170"/>
      </w:pPr>
      <w:r>
        <w:rPr>
          <w:rFonts w:ascii="Calibri" w:hAnsi="Calibri"/>
          <w:b/>
          <w:color w:val="4A6B25"/>
          <w:sz w:val="15"/>
        </w:rPr>
        <w:t xml:space="preserve">3. </w:t>
      </w:r>
      <w:r>
        <w:rPr>
          <w:rFonts w:ascii="Calibri" w:hAnsi="Calibri"/>
          <w:b w:val="0"/>
          <w:color w:val="3A4A28"/>
          <w:sz w:val="17"/>
        </w:rPr>
        <w:t>Yahoo Finance, StockAnalysis — CDE Key Statistics: Forward P/E 9.37x, D/E 8.8%, ROE 12.85%, Profit Margin 26.82%, Stock Price $18.58, Avg Volume 38.8M,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Glassdoor, Comparably — Coeur Mining CEO Mitchell Krebs 91% Approval, Culture 3.8/5.0, Employee Reviews on Leadership,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EPA Settlement — Coeur Alaska Kensington Mine Pollution Discharges, 200+ Wastewater Violations, Acid Rock Drainage; Coeur ESG Report, GISTM Standards, Indigenous Peoples Policy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