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CDNL</w:t>
      </w:r>
      <w:r>
        <w:rPr>
          <w:rFonts w:ascii="Calibri" w:hAnsi="Calibri"/>
          <w:b/>
          <w:color w:val="1A2010"/>
          <w:sz w:val="40"/>
        </w:rPr>
        <w:t xml:space="preserve">  Cardinal Infrastructure Group Inc.</w:t>
      </w:r>
    </w:p>
    <w:p>
      <w:pPr>
        <w:spacing w:after="120"/>
      </w:pPr>
      <w:r>
        <w:rPr>
          <w:rFonts w:ascii="Calibri" w:hAnsi="Calibri"/>
          <w:b/>
          <w:color w:val="6E8450"/>
          <w:sz w:val="18"/>
        </w:rPr>
        <w:t>GROWTH SLEEVE · 2026-08-21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Engineering &amp; Construction · NASDAQ · United States</w:t>
      </w:r>
    </w:p>
    <w:p>
      <w:pPr>
        <w:spacing w:after="80"/>
      </w:pPr>
      <w:r>
        <w:rPr>
          <w:rFonts w:ascii="Calibri" w:hAnsi="Calibri"/>
          <w:b w:val="0"/>
          <w:color w:val="3A4A28"/>
          <w:sz w:val="20"/>
        </w:rPr>
        <w:t>Cardinal Infrastructure Group Inc. (formerly Civil Infrastructure Group Inc.) is a full-service civil contracting company providing site development and infrastructure services across the southeastern United States. Services include wet utility installations (water, sewer, stormwater), grading, site clearing, erosion control, drilling/blasting, paving, and related services. Founded in 2013 by CEO Jeremy Spivey and headquartered in Raleigh, NC, the company IPO'd in December 2025 and operates through a self-performing model. Q2 2026 revenue surged 114% YoY to $226.9M with record backlog of $866M (+35%), though EPS of $0.26 missed consensus by $0.22 and margin guidance was reduced to 16-18% from 20%+ [1][4].</w:t>
      </w:r>
    </w:p>
    <w:p>
      <w:r>
        <w:rPr>
          <w:rFonts w:ascii="Calibri" w:hAnsi="Calibri"/>
          <w:b/>
          <w:color w:val="6E8450"/>
          <w:sz w:val="18"/>
        </w:rPr>
        <w:t>https://cardinalinfrastructuregroup.com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Cardinal has executed a rapid growth-through-acquisition strategy, including the ALGC acquisition in 2025 and the Allied Paving acquisition in 2026 (adding $108M annual revenue at 20.3% adjusted EBITDA margin), alongside strong organic growth of approximately 56-64% [1]. The company transformed from a regional NC civil contractor into a multi-state southeastern infrastructure platform, rebranding from Civil Infrastructure Group to Cardinal Infrastructure Group in September 2025. Revenue has grown at a 44% CAGR from 2021-2025 [3]. AI Deployment (0/2): No evidence of AI-powered products or AI-driven cost savings. Civil construction operations rely on skilled labor, heavy equipment, and field execution rather than technology platforms. Market Share (2/2): Cardinal is positioned as one of the Southeast's fastest-growing full-service infrastructure service providers, gaining share rapidly through both organic growth (56% in Q2) and strategic acquisitions in a fragmented market [1][2]. The $880-900M revenue guidance represents dominant-and-growing positioning in southeastern civil infrastructure. Product Pipeline (1/2): Record backlog of $866M (+35% YoY) provides strong revenue visibility through 2027 [1]. However, the Q2 2026 EPS miss ($0.26 vs $0.48 consensus) and reduced margin guidance (16-18% vs 20%+) raise questions about the quality of the backlog and execution consistency [4]. R&amp;D Intensity (0/1): Civil construction does not involve traditional R&amp;D. Competitive advantage comes from self-performing execution capability, equipment fleet management, and M&amp;A integration.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Cardinal describes itself as delivering 'integrated civil and site-development solutions across high-growth markets through a self-performing model' [2]. This is a generic operational description, not a mission — interchangeable with any civil contractor in the Southeast. It identifies what the company does but not why it exists beyond commercial growth. Community Impact (0/2): No evidence of charitable programs, community foundation, or distinctive community investment by Cardinal Infrastructure Group [4]. Employee Retention (1/2): CEO Jeremy Spivey has led the company since founding in 2013 (13-year tenure), and the company emphasizes building 'a safety culture that makes everything else it does possible' with investment in team development showing up in 'growth, retention and performance' [2]. Recent leadership appointments including President of Carolinas and COO suggest deliberate organizational building. However, no specific retention data is publicly available. Insider Buying (1/2): COO Benjamin Wood purchased 20,000 shares for $1.03M in May 2026, and Director Ivy Zelman purchased $251K in shares in March 2026 — meaningful open-market purchases by two individuals but not broad-based executive buying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Cardinal demonstrates exceptional revenue growth offset by thin margins typical of civil construction. D/E of 38.35% is well below the 70% target, scoring at maximum [3]. ROE of 11.91% is below the 15% target (scoring 0.79) but acceptable for a construction company in rapid growth mode. Revenue growth YoY of approximately 95% (guidance midpoint $890M vs $456M FY2025) and 5-year revenue CAGR of 44% both score at maximum, reflecting extraordinary top-line expansion [1][3]. Forward P/E of 23.92 is above the 20 target (scoring 0.90), reflecting growth premium. The primary drag is profit margin of 2.74%, well below the 20% target (scoring 0.14) — thin margins are structural in civil contracting and the Q2 2026 margin compression from 18.6% to 12.4% adjusted EBITDA margin is concerning [1][3]. PEG ratio unavailable and excluded from scoring. Liquidity cleared: 226,380 avg vol multiplied by $39.23 = $8.9M daily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Cardinal Infrastructure is a founder-led company with 13 years of history and a clear growth trajectory, but it operates as a high-execution growth platform rather than a purpose-driven organization. The aggressive M&amp;A strategy (ALGC, Allied Paving) and rapid scaling reflect ambition, but the Q2 2026 EPS miss and subsequent securities investigation [4] raise questions about whether growth is being pursued sustainably. The competitive posture is about winning market share in the Southeast rather than building to endure across generations.</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Cardinal's purpose is operational — building infrastructure and growing revenue in southeastern markets. There is no articulated vision of a future state that inspires sacrifice. The company exists to grow, execute contracts, and consolidate a fragmented market [1][2]. This is a financially motivated platform strategy, not a Just Cause in the Sinek sense. While the work itself (water, sewer, roads) serves communities, Cardinal does not frame its mission in those terms — the language is about being 'the fastest-growing' rather than serving a higher purpose.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Spivey emphasizes that Cardinal has built 'a safety culture that makes everything else it does possible' and praises acquired teams' 'exceptional culture and leadership alignment' as a key acquisition criterion [2]. The appointment of regional presidents and COO suggests delegation and empowerment. However, the company has grown extremely rapidly through acquisitions, and integrating diverse construction workforces across multiple states is inherently challenging. No specific retention data is available.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Cardinal's competitive language focuses on being 'one of the Southeast's fastest-growing' infrastructure providers and gaining market share through acquisitions [1][2]. This is a finite competitive mindset — the goal is to grow bigger and faster than peers. No evidence of management acknowledging competitors' strengths or framing competition as motivation to improve rather than win.</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Cardinal has not faced a test of existential flexibility — the company is 13 years old and has been on a continuous growth trajectory in a strong southeastern infrastructure market [1]. The business model has remained consistent: civil contracting and site development. The rebranding from Civil Infrastructure Group to Cardinal Infrastructure Group in September 2025 was cosmetic, not strategic. No evidence of pivoting away from a core business or making a painful strategic shift.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Founder-CEO Jeremy Spivey's decision to take the company public in December 2025 and pursue aggressive M&amp;A while maintaining a self-performing model shows willingness to invest in capability [1][2]. The Allied Paving acquisition at 5.5x EBITDA demonstrates disciplined capital allocation. However, the Q2 2026 earnings miss (EPS $0.26 vs $0.48 consensus) and reduced margin guidance from 20%+ to 16-18% suggest growth may be outpacing execution capability [4]. Securities investigations by multiple law firms following the Q2 miss raise governance questions.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Cardinal Infrastructure is a high-growth civil contracting platform capitalizing on the southeastern US infrastructure boom. Revenue has grown at a 44% CAGR since 2021, and 2026 guidance of $880-900M represents approximately 95% growth over FY2025's $456M [1][2]. Record backlog of $866M (+35% YoY) provides visibility into 2027. The Allied Paving acquisition (5.5x EBITDA, $108M revenue, 20.3% margin) strengthens the platform [1]. D/E of 38.35% is conservative, and the self-performing model with specialized equipment creates barriers to entry. AI resilience is among the highest possible — civil construction physically cannot be disrupted by software. Founder-CEO Spivey's 13-year track record and insider purchases by COO Wood ($1.03M) and Director Zelman ($251K) demonstrate execution confidence [2][3]. The stock at $39.23 has fallen 58% from the June 2026 high of $94.31, potentially creating a valuation entry point.</w:t>
      </w:r>
    </w:p>
    <w:p>
      <w:pPr>
        <w:spacing w:after="120"/>
      </w:pPr>
      <w:r>
        <w:rPr>
          <w:rFonts w:ascii="Calibri" w:hAnsi="Calibri"/>
          <w:b w:val="0"/>
          <w:color w:val="3A4A28"/>
          <w:sz w:val="20"/>
        </w:rPr>
        <w:t>The bear case is acute following the Q2 2026 earnings debacle. EPS of $0.26 missed consensus by 46% ($0.48 expected), adjusted EBITDA margin collapsed from 18.6% to 12.4% YoY, and full-year margin guidance was slashed from 20%+ to 16-18% [1][4]. Multiple law firms (Holzer &amp; Holzer, Block &amp; Leviton) have initiated securities investigations into potential federal securities law violations related to the margin guidance [4]. GAAP profit margin of 2.74% reflects the structurally thin-margin nature of civil construction — any execution misstep or pricing pressure compresses already-thin margins toward breakeven [3]. The company's acquisition-heavy strategy (revenue 114% YoY but only 56-64% organic) creates integration risk, and the IPO is less than 9 months old with limited public company track record. The Inspire Impact Score of 0 (MIXED) provides no faith-alignment differentiation. At 23.92x forward PE, the stock still commands a premium multiple for a cyclical construction business with recently-failed margin execution.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Record backlog of $866M (+35% YoY) provides approximately 3.9 quarters of revenue visibility and insulates against near-term demand volatility in southeastern infrastructure markets [1]</w:t>
      </w:r>
    </w:p>
    <w:p>
      <w:pPr>
        <w:spacing w:before="40" w:after="40"/>
        <w:ind w:left="283"/>
      </w:pPr>
      <w:r>
        <w:rPr>
          <w:rFonts w:ascii="Calibri" w:hAnsi="Calibri"/>
          <w:b/>
          <w:color w:val="4A6B25"/>
          <w:sz w:val="20"/>
        </w:rPr>
        <w:t xml:space="preserve">2. </w:t>
      </w:r>
      <w:r>
        <w:rPr>
          <w:rFonts w:ascii="Calibri" w:hAnsi="Calibri"/>
          <w:b w:val="0"/>
          <w:color w:val="3A4A28"/>
          <w:sz w:val="20"/>
        </w:rPr>
        <w:t>Allied Paving acquisition at 5.5x EBITDA adds $108M revenue at 20.3% adjusted EBITDA margin — accretive to Cardinal's blended margin profile and providing paving capabilities to cross-sell across the platform [1]</w:t>
      </w:r>
    </w:p>
    <w:p>
      <w:pPr>
        <w:spacing w:before="40" w:after="40"/>
        <w:ind w:left="283"/>
      </w:pPr>
      <w:r>
        <w:rPr>
          <w:rFonts w:ascii="Calibri" w:hAnsi="Calibri"/>
          <w:b/>
          <w:color w:val="4A6B25"/>
          <w:sz w:val="20"/>
        </w:rPr>
        <w:t xml:space="preserve">3. </w:t>
      </w:r>
      <w:r>
        <w:rPr>
          <w:rFonts w:ascii="Calibri" w:hAnsi="Calibri"/>
          <w:b w:val="0"/>
          <w:color w:val="3A4A28"/>
          <w:sz w:val="20"/>
        </w:rPr>
        <w:t>Stock decline of 58% from June high creates potential valuation entry point if margin recovery materializes — management guidance of 16-18% full-year EBITDA margin still represents a profitable growth business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Securities investigation by Holzer &amp; Holzer and Block &amp; Leviton following Q2 2026 EPS miss of 46% ($0.26 vs $0.48 consensus) and margin guidance collapse from 20%+ to 16-18% — potential securities law violations add legal and reputational risk [4]</w:t>
      </w:r>
    </w:p>
    <w:p>
      <w:pPr>
        <w:spacing w:before="40" w:after="40"/>
        <w:ind w:left="283"/>
      </w:pPr>
      <w:r>
        <w:rPr>
          <w:rFonts w:ascii="Calibri" w:hAnsi="Calibri"/>
          <w:b/>
          <w:color w:val="4A6B25"/>
          <w:sz w:val="20"/>
        </w:rPr>
        <w:t xml:space="preserve">2. </w:t>
      </w:r>
      <w:r>
        <w:rPr>
          <w:rFonts w:ascii="Calibri" w:hAnsi="Calibri"/>
          <w:b w:val="0"/>
          <w:color w:val="3A4A28"/>
          <w:sz w:val="20"/>
        </w:rPr>
        <w:t>Adjusted EBITDA margin compressed from 18.6% to 12.4% in Q2 2026, and GAAP profit margin of 2.74% reflects the structurally thin-margin nature of civil construction where any execution or pricing misstep can push margins toward breakeven [1][3]</w:t>
      </w:r>
    </w:p>
    <w:p>
      <w:pPr>
        <w:spacing w:before="40" w:after="40"/>
        <w:ind w:left="283"/>
      </w:pPr>
      <w:r>
        <w:rPr>
          <w:rFonts w:ascii="Calibri" w:hAnsi="Calibri"/>
          <w:b/>
          <w:color w:val="4A6B25"/>
          <w:sz w:val="20"/>
        </w:rPr>
        <w:t xml:space="preserve">3. </w:t>
      </w:r>
      <w:r>
        <w:rPr>
          <w:rFonts w:ascii="Calibri" w:hAnsi="Calibri"/>
          <w:b w:val="0"/>
          <w:color w:val="3A4A28"/>
          <w:sz w:val="20"/>
        </w:rPr>
        <w:t>Rapid M&amp;A integration risk with an IPO less than 9 months old — acquisition-driven construction platforms have historically produced mixed results when culture integration fails or growth outpaces management bandwidth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Civil contracting — installing water/sewer/stormwater systems, grading, site clearing, drilling/blasting, paving — is among the most AI-immune business models in the economy [1]. Every revenue dollar requires physical crews, heavy equipment, dirt, and concrete at specific locations. AI cannot grade a construction site, install underground utilities, or blast rock formations. The work is deeply regulated by state and municipal codes, requires on-site inspections, and involves site-specific conditions that resist automation. Cardinal's self-performing model with specialized equipment fleets and skilled labor makes it structurally impossible for software to substitute. AI may actually increase demand — AI data center construction requires extensive site preparation and utility infrastructure that companies like Cardinal provide. AI Opportunity (0/1): Cardinal does not generate AI-related revenue. The company uses standard construction management technology but does not sell AI products or services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Cardinal Infrastructure Group Q2 2026 Earnings Release — Revenue $226.9M (+114% YoY, ~56% organic), Record backlog $866M (+35%), Adjusted EBITDA $28.1M, Allied Paving acquisition, August 2026</w:t>
      </w:r>
    </w:p>
    <w:p>
      <w:pPr>
        <w:spacing w:before="20" w:after="20"/>
        <w:ind w:left="170"/>
      </w:pPr>
      <w:r>
        <w:rPr>
          <w:rFonts w:ascii="Calibri" w:hAnsi="Calibri"/>
          <w:b/>
          <w:color w:val="4A6B25"/>
          <w:sz w:val="15"/>
        </w:rPr>
        <w:t xml:space="preserve">2. </w:t>
      </w:r>
      <w:r>
        <w:rPr>
          <w:rFonts w:ascii="Calibri" w:hAnsi="Calibri"/>
          <w:b w:val="0"/>
          <w:color w:val="3A4A28"/>
          <w:sz w:val="17"/>
        </w:rPr>
        <w:t>Cardinal Infrastructure Group Company Website, Leadership — CEO Jeremy Spivey (founder, 13-year tenure), safety culture, self-performing model, Raleigh NC headquarters,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StockAnalysis/Yahoo Finance/CNBC — CDNL Key Statistics: D/E 38.35%, ROE 11.91%, Profit Margin 2.74%, Forward PE 23.92, Stock Price $39.23, Avg Volume 226K,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Holzer &amp; Holzer LLC/Block &amp; Leviton — Securities investigation of Cardinal Infrastructure Group following Q2 2026 EPS miss ($0.26 vs $0.48 consensus), margin guidance reduction to 16-18%,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