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CERS</w:t>
      </w:r>
      <w:r>
        <w:rPr>
          <w:rFonts w:ascii="Calibri" w:hAnsi="Calibri"/>
          <w:b/>
          <w:color w:val="1A2010"/>
          <w:sz w:val="40"/>
        </w:rPr>
        <w:t xml:space="preserve">  Cerus Corporation</w:t>
      </w:r>
    </w:p>
    <w:p>
      <w:pPr>
        <w:spacing w:after="120"/>
      </w:pPr>
      <w:r>
        <w:rPr>
          <w:rFonts w:ascii="Calibri" w:hAnsi="Calibri"/>
          <w:b/>
          <w:color w:val="6E8450"/>
          <w:sz w:val="18"/>
        </w:rPr>
        <w:t>GROWTH SLEEVE · 2026-07-25 · Inspire: 51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Cerus Corporation develops and commercializes the INTERCEPT Blood System, a proprietary pathogen reduction technology designed to enhance blood safety by inactivating blood-borne pathogens in donated blood components intended for transfusion. Products include INTERCEPT systems for platelets, plasma, cryoprecipitation (IFC), and red blood cells, sold globally through direct sales and distributors.</w:t>
      </w:r>
    </w:p>
    <w:p>
      <w:r>
        <w:rPr>
          <w:rFonts w:ascii="Calibri" w:hAnsi="Calibri"/>
          <w:b/>
          <w:color w:val="6E8450"/>
          <w:sz w:val="18"/>
        </w:rPr>
        <w:t>261 Employees · https://www.cerus.com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Cerus expanded the INTERCEPT platform into cryoprecipitation (IFC) generating $22-24M in guided 2026 revenue (up 30-40% YoY) and continues development of the red blood cell system — meaningful but incremental extensions of core pathogen reduction technology [1]. AI Deployment (0/2): No AI-powered products or internal AI deployment; Cerus's technology is based on photochemistry (amotosalen/UVA light), not AI [2]. Market Share (2/2): Cerus is the global leader in pathogen reduction for blood components, a category it created and continues to define with the INTERCEPT system adopted by blood centers across the U.S., Europe, Middle East, and Latin America [1]. Pipeline (1/2): IFC is ramping strongly with raised guidance to $22-24M, and the RBC system represents a significant pipeline opportunity, but specific next-gen product timelines remain limited beyond current platform extensions [1]. R&amp;D Intensity (1/1): Over 30 years of continuous R&amp;D investment in pathogen reduction technology, including government-funded research for military and civilian blood safety applications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Cerus was founded on the belief that improving blood safety and availability would meaningfully impact individuals and society — a specific, purposeful mission consistently pursued for over 30 years through decades of operating losses, creating the pathogen reduction category for blood components [3]. Community Impact (1/2): Cerus's products directly protect transfusion recipients globally from blood-borne pathogens, with government-funded programs supporting military blood safety applications; the company is committed to serving patients and communities through a safe blood supply [3]. Employee Retention (0/2): Glassdoor rating of 3.4/5.0 from 45 reviews with mixed feedback — some employees praise the CEO as 'amazing' and cite collaborative culture, while others describe 'very poor culture, horrible management' and below-average compensation; no retention or tenure data available [2]. Insider Buying (0/2): CFO sold 33,676 shares in July 2026; no insider buying reported during a period of CEO transition from William Greenman (15-year tenure) to Vivek Jayaraman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Cerus shows improving but still-weak financials approaching a profitability inflection. Q1 2026 total revenue of $59.9M (up 22.5% YoY) with product revenue of $53.7M (up 24% YoY), and the company raised full-year 2026 product revenue guidance to $227-231M (10-12% growth) [1]. The company achieved its eighth consecutive quarter of positive adjusted EBITDA, and GAAP EPS of -$0.01 in Q1 2026 (beating by $0.03) signals near-breakeven [1]. D/E of ~149% with $80.4M cash against approximately $97M debt creates moderate leverage risk for a company still GAAP-unprofitable [5]. ROE remains negative at approximately -20%, and forward P/E of -87.8x confirms the market does not yet expect near-term profitability [5]. Liquidity floor cleared: 2.75M avg vol x $3.16 = $8.7M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Cerus exhibits strong infinite game characteristics in its 30+ year commitment to a single cause — making blood transfusions safer worldwide. The planned CEO transition from Greenman (15 years) to Jayaraman (10 years at company) demonstrates organizational continuity. The company patiently invested through decades of losses before approaching profitability, which Sinek would recognize as playing to keep playing. However, single-platform dependence and mixed employee experience limit the score.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Cerus's cause — improving blood safety and availability to meaningfully impact individuals and society — has been consistently pursued for over 30 years through decades of operating losses, creating the pathogen reduction category for blood components [3]. The INTERCEPT system now protects transfusion recipients globally. This cause survived multiple funding crises and is now validated by the company's approach to profitability. It is genuine and partially proven, though commercial scale remains modest at $227-231M guided revenue (2 pts).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Greenman's 15-year tenure and planned succession to Jayaraman (10 years at company, COO since 2020) demonstrate stable leadership continuity during the July 2026 transition [2]. However, Glassdoor reviews are mixed at 3.4/5 — some employees praise the culture as collaborative and the CEO as 'amazing,' while others cite 'horrible management,' limited inter-departmental communication, and below-industry compensation [2] (1 pt).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Cerus operates in a category it created (pathogen reduction for blood components) and frames its challenge as expanding global adoption of pathogen reduction technology rather than defeating competitors [1]. This is inherently infinite framing — growing the category for the benefit of blood safety worldwide rather than competing to win market share — consistent with Sinek's framework (1 pt).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Cerus has maintained its singular focus on the INTERCEPT Blood System for its entire 35-year history, extending the platform to additional blood components (platelets, plasma, cryoprecipitation, red blood cells) but never pivoting to a fundamentally different technology or market [1]. While this consistency demonstrates cause-driven discipline, it means the company has never been tested on existential flexibility — it has never had to abandon its core approach. Sinek would note the single-platform dependence as a structural vulnerability (0 pts).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Cerus invested through 30+ years of operating losses to develop and commercialize pathogen reduction technology, with the company only now approaching GAAP breakeven after eight consecutive quarters of positive adjusted EBITDA [1]. The continued pursuit of the RBC system despite enormous cost and regulatory timeline represents choosing long-term capability over short-term earnings. However, this patience was partly enabled by government grants and external funding rather than purely self-funded conviction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Cerus is accelerating toward its profitability inflection with Q1 2026 product revenue of $53.7M (up 24% YoY), beating EPS estimates by $0.03, and raising full-year 2026 product revenue guidance to $227-231M (10-12% growth) with IFC guidance up to $22-24M (30-40% growth) [1]. The company has now achieved eight consecutive quarters of positive adjusted EBITDA, and Q1 GAAP EPS of -$0.01 demonstrates near-breakeven — the 30-year journey to sustainable profitability appears close to completion. The INTERCEPT Blood System is the category-defining leader in pathogen reduction, an underadopted technology with significant room for global market expansion, and the red blood cell system represents a large incremental opportunity [1]. At a $633M market cap with 54% gross margins and accelerating growth, the stock offers compelling value if GAAP profitability materializes in 2027.</w:t>
      </w:r>
    </w:p>
    <w:p>
      <w:pPr>
        <w:spacing w:after="120"/>
      </w:pPr>
      <w:r>
        <w:rPr>
          <w:rFonts w:ascii="Calibri" w:hAnsi="Calibri"/>
          <w:b w:val="0"/>
          <w:color w:val="3A4A28"/>
          <w:sz w:val="20"/>
        </w:rPr>
        <w:t>The bear case centers on the company's persistent inability to achieve GAAP profitability despite 30+ years of operations. ROE remains negative at approximately -20%, forward P/E is -87.8x, and cash declined to $80.4M with ~$97M in debt (D/E ~149%) [5]. The CEO transition from Greenman to Jayaraman in July 2026 introduces leadership uncertainty at the most critical juncture in the company's history, and CFO insider selling of 33,676 shares in July 2026 raises questions about management conviction at current prices [4]. Revenue growth guidance of 10-12% for FY2026 is decelerating from Q1's 24% product revenue growth, suggesting the IFC acceleration may be partially offset by base business normalization. Single-platform INTERCEPT dependence means any regulatory issue, competitive technology, or market adoption slowdown impacts 100% of revenue [2]. At $3.16 (up 63% from April lows), much of the profitability inflection may already be priced 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Path to GAAP profitability — eight consecutive quarters of positive adjusted EBITDA and Q1 GAAP EPS of -$0.01 suggest breakeven is approaching, potentially in late 2026 or 2027 [1]</w:t>
      </w:r>
    </w:p>
    <w:p>
      <w:pPr>
        <w:spacing w:before="40" w:after="40"/>
        <w:ind w:left="283"/>
      </w:pPr>
      <w:r>
        <w:rPr>
          <w:rFonts w:ascii="Calibri" w:hAnsi="Calibri"/>
          <w:b/>
          <w:color w:val="4A6B25"/>
          <w:sz w:val="20"/>
        </w:rPr>
        <w:t xml:space="preserve">2. </w:t>
      </w:r>
      <w:r>
        <w:rPr>
          <w:rFonts w:ascii="Calibri" w:hAnsi="Calibri"/>
          <w:b w:val="0"/>
          <w:color w:val="3A4A28"/>
          <w:sz w:val="20"/>
        </w:rPr>
        <w:t>IFC (cryoprecipitation) revenue guidance raised to $22-24M (30-40% YoY growth), providing a validated second growth vector with strong adoption momentum [1]</w:t>
      </w:r>
    </w:p>
    <w:p>
      <w:pPr>
        <w:spacing w:before="40" w:after="40"/>
        <w:ind w:left="283"/>
      </w:pPr>
      <w:r>
        <w:rPr>
          <w:rFonts w:ascii="Calibri" w:hAnsi="Calibri"/>
          <w:b/>
          <w:color w:val="4A6B25"/>
          <w:sz w:val="20"/>
        </w:rPr>
        <w:t xml:space="preserve">3. </w:t>
      </w:r>
      <w:r>
        <w:rPr>
          <w:rFonts w:ascii="Calibri" w:hAnsi="Calibri"/>
          <w:b w:val="0"/>
          <w:color w:val="3A4A28"/>
          <w:sz w:val="20"/>
        </w:rPr>
        <w:t>INTERCEPT for red blood cells represents a large incremental market opportunity that could significantly expand the addressable market beyond platelets and plasma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CEO succession risk — William Greenman departing after 15 years as CEO in July 2026, with Vivek Jayaraman taking over during the most critical transition period in company history [2]</w:t>
      </w:r>
    </w:p>
    <w:p>
      <w:pPr>
        <w:spacing w:before="40" w:after="40"/>
        <w:ind w:left="283"/>
      </w:pPr>
      <w:r>
        <w:rPr>
          <w:rFonts w:ascii="Calibri" w:hAnsi="Calibri"/>
          <w:b/>
          <w:color w:val="4A6B25"/>
          <w:sz w:val="20"/>
        </w:rPr>
        <w:t xml:space="preserve">2. </w:t>
      </w:r>
      <w:r>
        <w:rPr>
          <w:rFonts w:ascii="Calibri" w:hAnsi="Calibri"/>
          <w:b w:val="0"/>
          <w:color w:val="3A4A28"/>
          <w:sz w:val="20"/>
        </w:rPr>
        <w:t>Persistent GAAP unprofitability — 30+ years without a GAAP-profitable year despite accelerating revenue creates questions about whether the business model can deliver sustained positive net income [5]</w:t>
      </w:r>
    </w:p>
    <w:p>
      <w:pPr>
        <w:spacing w:before="40" w:after="40"/>
        <w:ind w:left="283"/>
      </w:pPr>
      <w:r>
        <w:rPr>
          <w:rFonts w:ascii="Calibri" w:hAnsi="Calibri"/>
          <w:b/>
          <w:color w:val="4A6B25"/>
          <w:sz w:val="20"/>
        </w:rPr>
        <w:t xml:space="preserve">3. </w:t>
      </w:r>
      <w:r>
        <w:rPr>
          <w:rFonts w:ascii="Calibri" w:hAnsi="Calibri"/>
          <w:b w:val="0"/>
          <w:color w:val="3A4A28"/>
          <w:sz w:val="20"/>
        </w:rPr>
        <w:t>Single-platform concentration — entire company revenue depends on the INTERCEPT Blood System; any competitive technology disruption, regulatory change, or adoption slowdown impacts 100% of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Blood safety and pathogen reduction is a deeply physical, biochemistry-based process that AI cannot substitute — the INTERCEPT system uses photochemistry (amotosalen/UVA light) to crosslink nucleic acids and inactivate pathogens in donated blood, requiring actual devices and chemistry at the point of blood processing [1]. Blood banking is heavily regulated by the FDA and European authorities, creating structural regulatory moats against any form of digital disruption. AI cannot replace the need for pathogen-reduced blood components in surgical, trauma, and transfusion settings. If anything, AI-driven advances in healthcare could increase surgical volumes and demand for safer blood products. AI Opportunity (0/1): No evidence of AI-generated revenue; Cerus's technology platform is based on photochemistry, not AI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Cerus Corporation Q1 2026 Earnings — $59.9M total revenue (up 22.5%), $53.7M product revenue (up 24%), raised guidance to $227-231M, 8th consecutive positive adjusted EBITDA, beat EPS by $0.03, April 2026</w:t>
      </w:r>
    </w:p>
    <w:p>
      <w:pPr>
        <w:spacing w:before="20" w:after="20"/>
        <w:ind w:left="170"/>
      </w:pPr>
      <w:r>
        <w:rPr>
          <w:rFonts w:ascii="Calibri" w:hAnsi="Calibri"/>
          <w:b/>
          <w:color w:val="4A6B25"/>
          <w:sz w:val="15"/>
        </w:rPr>
        <w:t xml:space="preserve">2. </w:t>
      </w:r>
      <w:r>
        <w:rPr>
          <w:rFonts w:ascii="Calibri" w:hAnsi="Calibri"/>
          <w:b w:val="0"/>
          <w:color w:val="3A4A28"/>
          <w:sz w:val="17"/>
        </w:rPr>
        <w:t>Cerus Leadership and Culture — CEO Greenman (15yr tenure), succession to Vivek Jayaraman July 2026; Glassdoor 3.4/5 from 45 reviews, mixed employee feedback</w:t>
      </w:r>
    </w:p>
    <w:p>
      <w:pPr>
        <w:spacing w:before="20" w:after="20"/>
        <w:ind w:left="170"/>
      </w:pPr>
      <w:r>
        <w:rPr>
          <w:rFonts w:ascii="Calibri" w:hAnsi="Calibri"/>
          <w:b/>
          <w:color w:val="4A6B25"/>
          <w:sz w:val="15"/>
        </w:rPr>
        <w:t xml:space="preserve">3. </w:t>
      </w:r>
      <w:r>
        <w:rPr>
          <w:rFonts w:ascii="Calibri" w:hAnsi="Calibri"/>
          <w:b w:val="0"/>
          <w:color w:val="3A4A28"/>
          <w:sz w:val="17"/>
        </w:rPr>
        <w:t>Cerus Corporation ESG and Sustainability — mission to improve blood safety and availability, committed to patients, communities, and environment, no controversies identified</w:t>
      </w:r>
    </w:p>
    <w:p>
      <w:pPr>
        <w:spacing w:before="20" w:after="20"/>
        <w:ind w:left="170"/>
      </w:pPr>
      <w:r>
        <w:rPr>
          <w:rFonts w:ascii="Calibri" w:hAnsi="Calibri"/>
          <w:b/>
          <w:color w:val="4A6B25"/>
          <w:sz w:val="15"/>
        </w:rPr>
        <w:t xml:space="preserve">4. </w:t>
      </w:r>
      <w:r>
        <w:rPr>
          <w:rFonts w:ascii="Calibri" w:hAnsi="Calibri"/>
          <w:b w:val="0"/>
          <w:color w:val="3A4A28"/>
          <w:sz w:val="17"/>
        </w:rPr>
        <w:t>Cerus CFO insider sale of 33,676 shares,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financial data for CERS (Cerus Corporation),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