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CGON</w:t>
      </w:r>
      <w:r>
        <w:rPr>
          <w:rFonts w:ascii="Calibri" w:hAnsi="Calibri"/>
          <w:b/>
          <w:color w:val="1A2010"/>
          <w:sz w:val="40"/>
        </w:rPr>
        <w:t xml:space="preserve">  CG Oncology, Inc.</w:t>
      </w:r>
    </w:p>
    <w:p>
      <w:pPr>
        <w:spacing w:after="120"/>
      </w:pPr>
      <w:r>
        <w:rPr>
          <w:rFonts w:ascii="Calibri" w:hAnsi="Calibri"/>
          <w:b/>
          <w:color w:val="6E8450"/>
          <w:sz w:val="18"/>
        </w:rPr>
        <w:t>GROWTH SLEEVE · 2026-08-03 · Inspire: 15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CG Oncology is a late-stage clinical biopharmaceutical company focused on developing and commercializing cretostimogene grenadenorepvec, an investigational oncolytic immunotherapy for patients with bladder cancer. The company has multiple Phase 3 trials in non-muscle invasive bladder cancer (NMIBC), holds FDA Fast Track and Breakthrough Therapy Designations, and expects BLA submission completion in Q4 2026. Market cap of approximately $5.4B.</w:t>
      </w:r>
    </w:p>
    <w:p>
      <w:r>
        <w:rPr>
          <w:rFonts w:ascii="Calibri" w:hAnsi="Calibri"/>
          <w:b/>
          <w:color w:val="6E8450"/>
          <w:sz w:val="18"/>
        </w:rPr>
        <w:t>142 Employees · https://cgoncology.com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CG Oncology has spent over a decade developing cretostimogene from preclinical concept to rolling BLA submission, advancing through multiple Phase 2 trials and initiating four separate Phase 3 programs (BOND-003 Cohorts C and P, PIVOT-006, CORE-008) — a significant achievement for a 142-person company demonstrating sustained execution since its founding as Cold Genesys in 2010 [1][2]. AI Deployment (0/2): No evidence of AI-powered drug discovery or AI-driven operational efficiencies; the company uses traditional biologic development approaches [2]. Market Share Leadership (2/2): Cretostimogene is positioned as a potential first-in-class bladder-sparing oncolytic immunotherapy for BCG-unresponsive NMIBC, a market with devastating unmet need where the current standard (radical cystectomy) carries severe quality-of-life impacts. FDA Breakthrough Therapy Designation validates clinical differentiation [1]. Product Pipeline (2/2): BLA submission completion expected Q4 2026, PIVOT-006 Phase 3 topline data expected in intermediate-risk NMIBC, and CORE-008 combination data — multiple near-term catalysts with specific timelines [1][3]. R&amp;D Intensity (1/1): R&amp;D spending of $116.6M against $4.0M revenue represents near-total investment in drug development, vastly exceeding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CG Oncology's mission — 'a world where urologic cancer patients can benefit from innovative therapies to live and work with dignity and an enhanced quality of life' — is specific, patient-centered, and deeply resonant for the bladder cancer community [2]. The decade-plus focus on a single disease area validates the authenticity of the mission, and the leadership team has personal connections to bladder cancer. Community &amp; Charitable Impact (2/2): CG Oncology is an active 'Partner in Progress' with the Bladder Cancer Advocacy Network (BCAN), contributing to patient education, awareness, and support programs — meaningful community investment aligned with its core mission [2]. Employee Retention (0/2): COO Ambaw Bellete separated from the company effective June 30, 2026, and CEO Arthur Kuan assumed the additional title of President while the company searches for a Chief Commercial Officer — leadership transition raises stability concerns despite Kuan's long tenure [3]. Insider Buying (1/2): A top insider made a significant purchase of CGON shares in June 2026, demonstrating conviction in the company's near-term trajectory heading into BLA completion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CG Oncology's balance sheet is exceptionally strong for a clinical-stage biotech: $1.1B in cash, cash equivalents, and marketable securities as of March 31, 2026 (up from $742.2M at year-end 2025) provides runway through H1 2029 [1]. D/E of 0.93% reflects near-zero debt. Revenue of $4.0M in FY2025 (up 254.7% from $1.1M in FY2024) is collaboration/grant income, not product revenue [1]. Net loss of $60.2M in Q1 2026 reflects the clinical-stage operating model with deeply negative ROE (-21.67%) and profit margin [1]. Revenue growth metrics score at ceiling but are collaboration-based, while ROE and profit margin score at floor — the mechanical calculation yields 6/10 driven by the strong low-debt position and high collaboration revenue growth offsetting pre-commercial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CG Oncology demonstrates strong infinite game characteristics relative to its clinical-stage peers. The company's decade-plus focus on bladder cancer since founding in 2010, leadership with personal connections to the disease, and active BCAN partnership reflect a genuine cause-driven orientation. However, the recent COO departure and single-drug dependency create organizational fragility that limits infinite game potential, and the company has not yet been tested through a major strategic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CG Oncology's cause — developing bladder-sparing therapies so cancer patients can live with dignity — is genuine, specific, and deeply felt by the leadership team with personal connections to bladder cancer [2]. The 16-year focus on a single disease area (from Cold Genesys founding in 2010 through today) validates authenticity. However, the cause has not yet been tested through adversity or leadership transitions — Arthur Kuan has led continuously and the company has not faced the defining moment that separates a genuine Just Cause from an aspirational one.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Arthur Kuan's long tenure provides leadership consistency, and the appointment of Christina Rossi (25+ years pharma/biotech experience, former COO at Blueprint Medicines) to the board strengthens governance [3]. However, COO Ambaw Bellete's departure in June 2026 and the ongoing search for a Chief Commercial Officer introduce leadership uncertainty at a critical pre-commercialization phase [3]. The 142-person team is described as collaborative and mission-driven, though limited public data exists on organizational culture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CG Oncology positions cretostimogene as a potential best-in-class therapy without explicitly acknowledging competitors' strengths. The competitive narrative focuses on the inadequacy of current treatments (BCG, radical cystectomy) rather than learning from rival approaches (e.g., Ferring's nadofaragene/Adstiladrin, already FDA-approved for BCG-unresponsive NMIBC), reflecting a more finite competitive framing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CG Oncology has evolved from a single-indication BCG-unresponsive NMIBC focus to a multi-indication bladder cancer platform spanning intermediate-risk NMIBC (PIVOT-006), high-risk BCG-exposed and BCG-naive patients (CORE-008), and combination therapies with gemcitabine [1]. While still centered on cretostimogene, this expansion from one clinical program to four concurrent Phase 3 trials across distinct patient populations represents meaningful strategic adaptation within its therapeutic focus.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CG Oncology demonstrates a pattern of courageous long-term bets. Running four concurrent Phase 3 programs while simultaneously initiating a rolling BLA submission represents extraordinary operational ambition for a 142-person company spending $116.6M annually on R&amp;D [1]. Accelerating the PIVOT-006 timeline ahead of schedule — committing additional resources to expand into intermediate-risk NMIBC before the lead BCG-unresponsive indication was approved — shows willingness to invest aggressively in long-term platform value over near-term capital preservation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CG Oncology represents a compelling late-stage biotech opportunity with cretostimogene advancing toward FDA approval for bladder cancer with Breakthrough Therapy and Fast Track Designations [1]. BLA submission completion is expected Q4 2026, and PIVOT-006 Phase 3 topline data in intermediate-risk NMIBC represents a major near-term catalyst. With $1.1B in cash providing runway through H1 2029, the company is exceptionally well-funded to execute through BLA completion, potential approval, and commercial launch [1]. The addressable market in NMIBC is estimated at $3B+ peak sales, and cretostimogene's bladder-sparing approach addresses a devastating unmet need where the alternative is radical cystectomy. The appointment of Christina Rossi (former COO at Blueprint Medicines) to the board strengthens commercial expertise ahead of launch [3].</w:t>
      </w:r>
    </w:p>
    <w:p>
      <w:pPr>
        <w:spacing w:after="120"/>
      </w:pPr>
      <w:r>
        <w:rPr>
          <w:rFonts w:ascii="Calibri" w:hAnsi="Calibri"/>
          <w:b w:val="0"/>
          <w:color w:val="3A4A28"/>
          <w:sz w:val="20"/>
        </w:rPr>
        <w:t>The bear case centers on binary regulatory risk and the significant valuation premium embedded in the $5.4B market cap for a pre-commercial company [1]. Any failure in PIVOT-006 or BOND-003 programs would trigger catastrophic stock decline given the single-asset structure. Ferring's Adstiladrin already holds FDA approval for BCG-unresponsive NMIBC, establishing a first-mover advantage that cretostimogene must overcome with superior efficacy or safety data. COO Ambaw Bellete's departure in June 2026 and the ongoing CCO search introduce execution risk at a critical pre-commercialization phase [3]. Net loss of $60.2M in Q1 2026 alone reflects the cost of running four concurrent Phase 3 programs, and commercialization costs would require significant additional investment. Revenue forecast for FY2026 has been revised down from $21M to $14.7M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submission completion expected Q4 2026 for BCG-unresponsive NMIBC, with potential FDA approval in 2027 given Breakthrough Therapy Designation and Fast Track status</w:t>
      </w:r>
    </w:p>
    <w:p>
      <w:pPr>
        <w:spacing w:before="40" w:after="40"/>
        <w:ind w:left="283"/>
      </w:pPr>
      <w:r>
        <w:rPr>
          <w:rFonts w:ascii="Calibri" w:hAnsi="Calibri"/>
          <w:b/>
          <w:color w:val="4A6B25"/>
          <w:sz w:val="20"/>
        </w:rPr>
        <w:t xml:space="preserve">2. </w:t>
      </w:r>
      <w:r>
        <w:rPr>
          <w:rFonts w:ascii="Calibri" w:hAnsi="Calibri"/>
          <w:b w:val="0"/>
          <w:color w:val="3A4A28"/>
          <w:sz w:val="20"/>
        </w:rPr>
        <w:t>PIVOT-006 Phase 3 topline data in intermediate-risk NMIBC could demonstrate efficacy in the largest market expansion opportunity for cretostimogene</w:t>
      </w:r>
    </w:p>
    <w:p>
      <w:pPr>
        <w:spacing w:before="40" w:after="40"/>
        <w:ind w:left="283"/>
      </w:pPr>
      <w:r>
        <w:rPr>
          <w:rFonts w:ascii="Calibri" w:hAnsi="Calibri"/>
          <w:b/>
          <w:color w:val="4A6B25"/>
          <w:sz w:val="20"/>
        </w:rPr>
        <w:t xml:space="preserve">3. </w:t>
      </w:r>
      <w:r>
        <w:rPr>
          <w:rFonts w:ascii="Calibri" w:hAnsi="Calibri"/>
          <w:b w:val="0"/>
          <w:color w:val="3A4A28"/>
          <w:sz w:val="20"/>
        </w:rPr>
        <w:t>Chief Commercial Officer hire and Christina Rossi board appointment signaling commercial infrastructure buildout ahead of potential approval and launch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across four concurrent programs — a single pivotal trial failure could eliminate a regulatory pathway and significantly impair the company's $5.4B valuation</w:t>
      </w:r>
    </w:p>
    <w:p>
      <w:pPr>
        <w:spacing w:before="40" w:after="40"/>
        <w:ind w:left="283"/>
      </w:pPr>
      <w:r>
        <w:rPr>
          <w:rFonts w:ascii="Calibri" w:hAnsi="Calibri"/>
          <w:b/>
          <w:color w:val="4A6B25"/>
          <w:sz w:val="20"/>
        </w:rPr>
        <w:t xml:space="preserve">2. </w:t>
      </w:r>
      <w:r>
        <w:rPr>
          <w:rFonts w:ascii="Calibri" w:hAnsi="Calibri"/>
          <w:b w:val="0"/>
          <w:color w:val="3A4A28"/>
          <w:sz w:val="20"/>
        </w:rPr>
        <w:t>Ferring's Adstiladrin already holds FDA approval for BCG-unresponsive NMIBC with established first-mover advantage, and emerging therapies could limit cretostimogene's market share even with positive data</w:t>
      </w:r>
    </w:p>
    <w:p>
      <w:pPr>
        <w:spacing w:before="40" w:after="40"/>
        <w:ind w:left="283"/>
      </w:pPr>
      <w:r>
        <w:rPr>
          <w:rFonts w:ascii="Calibri" w:hAnsi="Calibri"/>
          <w:b/>
          <w:color w:val="4A6B25"/>
          <w:sz w:val="20"/>
        </w:rPr>
        <w:t xml:space="preserve">3. </w:t>
      </w:r>
      <w:r>
        <w:rPr>
          <w:rFonts w:ascii="Calibri" w:hAnsi="Calibri"/>
          <w:b w:val="0"/>
          <w:color w:val="3A4A28"/>
          <w:sz w:val="20"/>
        </w:rPr>
        <w:t>COO departure, ongoing CCO search, and revenue forecast revision from $21M to $14.7M create execution and commercial readiness concerns at a critical pre-launch juncture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CG Oncology's core business — developing an oncolytic immunotherapy through FDA-regulated clinical trials requiring physical patient dosing, tissue analysis, and rigorous safety monitoring — is structurally protected from AI disruption [1][2]. Oncolytic virotherapy is a physical modality requiring viral vector engineering and intravesical administration — inherently resistant to digital substitution. The BLA submission process, GMP manufacturing, and regulatory expertise create regulatory moats that AI cannot bypass. Minor exposure exists from AI potentially accelerating competing drug development timelines. AI Opportunity (1/1): AI tools for clinical trial optimization (patient selection, site selection, safety signal detection) could enhance CG Oncology's trial efficiency, and the company's investment in collaborative safety solutions suggests openness to technology-enabled clinical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CG Oncology Q1 2026 Financial Results and Business Updates — ir.cgoncology.com, May 2026</w:t>
      </w:r>
    </w:p>
    <w:p>
      <w:pPr>
        <w:spacing w:before="20" w:after="20"/>
        <w:ind w:left="170"/>
      </w:pPr>
      <w:r>
        <w:rPr>
          <w:rFonts w:ascii="Calibri" w:hAnsi="Calibri"/>
          <w:b/>
          <w:color w:val="4A6B25"/>
          <w:sz w:val="15"/>
        </w:rPr>
        <w:t xml:space="preserve">2. </w:t>
      </w:r>
      <w:r>
        <w:rPr>
          <w:rFonts w:ascii="Calibri" w:hAnsi="Calibri"/>
          <w:b w:val="0"/>
          <w:color w:val="3A4A28"/>
          <w:sz w:val="17"/>
        </w:rPr>
        <w:t>CG Oncology corporate website — mission, pipeline, BCAN partnership,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CG Oncology leadership transition and board appointment announcements — TipRanks, GuruFocus, StockTitan, June-July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CGON key statistics, analyst estimates, and insider activity,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