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CMCT</w:t>
      </w:r>
      <w:r>
        <w:rPr>
          <w:rFonts w:ascii="Calibri" w:hAnsi="Calibri"/>
          <w:b/>
          <w:color w:val="1A2010"/>
          <w:sz w:val="40"/>
        </w:rPr>
        <w:t xml:space="preserve">  Creative Media &amp; Community Trust Corporation</w:t>
      </w:r>
    </w:p>
    <w:p>
      <w:pPr>
        <w:spacing w:after="120"/>
      </w:pPr>
      <w:r>
        <w:rPr>
          <w:rFonts w:ascii="Calibri" w:hAnsi="Calibri"/>
          <w:b/>
          <w:color w:val="6E8450"/>
          <w:sz w:val="18"/>
        </w:rPr>
        <w:t>GROWTH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NASDAQ · United States</w:t>
      </w:r>
    </w:p>
    <w:p>
      <w:pPr>
        <w:spacing w:after="80"/>
      </w:pPr>
      <w:r>
        <w:rPr>
          <w:rFonts w:ascii="Calibri" w:hAnsi="Calibri"/>
          <w:b w:val="0"/>
          <w:color w:val="3A4A28"/>
          <w:sz w:val="20"/>
        </w:rPr>
        <w:t>Creative Media &amp; Community Trust Corp. (CMCT) is a Los Angeles-based REIT, externally managed by CIM Group, that owns and operates multifamily, creative office, and hotel assets in growth markets tied to technology, media, and entertainment. The company is in survival mode: it redeemed $243M of preferred stock, sold its lending division, and executed a 1:10 reverse split in April 2026 to regain Nasdaq compliance after its common stock fell below the $1.00 minimum bid price [1][3]. TTM revenue is $107.0M (-4.2%) against a net loss of $81.1M, and the stock is down roughly 99% over the trailing 52 weeks.</w:t>
      </w:r>
    </w:p>
    <w:p>
      <w:r>
        <w:rPr>
          <w:rFonts w:ascii="Calibri" w:hAnsi="Calibri"/>
          <w:b/>
          <w:color w:val="6E8450"/>
          <w:sz w:val="18"/>
        </w:rPr>
        <w:t>https://www.creativemediacommunity.com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CMCT has made one modest strategic shift — exiting its lending division and redeploying capital toward multifamily and hotel assets away from struggling creative office — but this is a defensive reallocation under financial distress, not a market-defining pivot [1][3]. AI Deployment (0/2): No evidence of AI-powered leasing, underwriting, or property-management tools; the company's public disclosures focus entirely on balance-sheet survival (reverse split, preferred redemption) rather than technology investment [3]. Market Share (0/2): CMCT is a sub-$16M market-cap micro-cap REIT with no defensible share position in any of its three property types [2]. Product Pipeline (0/2): No forward development pipeline or next-generation asset strategy has been disclosed beyond asset-sale evaluation. R&amp;D Intensity (0/1): Not applicable/disclosed for this REIT — no R&amp;D spend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CMCT's stated purpose — to own and operate 'premier multifamily and creative office assets in vibrant and emerging communities' — is generic and interchangeable with any commercial REIT; it does not articulate a distinctive purpose beyond acquiring and managing property [1]. Community Impact (0/2): No evidence of a company foundation, charitable giving program, or measurable community investment was found. Employee Retention (0/2): No tenure or turnover data is publicly available for this externally-managed, thinly-staffed REIT. Insider Buying (2/2): Over the trailing three years, insiders have been net buyers with 5 purchase transactions totaling $4.33M and zero insider sales of common stock — a meaningful signal of leadership conviction even as the stock has collapsed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roughly 6,800–28,700 shares at a $5.25 stock price (post 1:10 reverse split) implies daily dollar volume of only $35K–$151K — far below the $1,000,000 threshold required to trade this name, so Infrastructure is set to 0 regardless of other metrics [2]. Underlying metrics are also weak: D/E of 203%, ROE of -15.6%, profit margin of -39.3%, and TTM revenue decline of -4.2%, alongside a going-concern-adjacent liquidity crunch that forced the $243M preferred redemption and lending-division sale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CMCT displays classic finite-game distress signaling: reactive reverse stock splits, dilutive preferred redemptions, undisclosed executive compensation in its own proxy, and asset-sale evaluations driven by survival rather than a coherent long-term vision [1][3]. There is no articulated Just Cause, no evidence of courageous long-term capital allocation, and governance transparency is actively deteriorating — this is a company optimizing quarter-to-quarter for solvency, not playing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CMCT's public messaging centers on regaining Nasdaq compliance and stabilizing the balance sheet, not on any service-oriented vision of the future. No Just Cause is articulated in company materials, and the generic 'premier assets in vibrant communities' language does not rise to a purpose that could survive the current crisis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2026 proxy statement disclosed no executive compensation detail, undermining the transparency Sinek associates with organizational trust, and a director's June 2026 forced cancellation of restricted shares for cash points to board-level friction rather than psychological safety [3][4]. No employee retention or culture data is available to offset these governance red flags.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referencing competitors as sources of learning or improvement was found; CMCT's public communication is entirely inward-facing on liquidity and compliance, with no evidence of a competitive mindset in either direction.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CMCT has shifted its portfolio mix — exiting the lending business and reweighting toward multifamily and hotel assets away from a weak office segment — representing incremental business-model evolution [1][3]. However, this shift is a reactive response to a liquidity crisis rather than a proactive bet made in service of a larger cause, so it falls short of Sinek's transformative-pivot standard.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Management's actions — reverse split, preferred redemption, lending-division sale — are defensive measures to avoid delisting and preserve liquidity, not costly long-term investments made in service of a larger cause. No evidence of leadership sacrificing near-term results to build future capability was found; the pattern is retrenchment, not investment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CMCT is a distressed micro-cap REIT attempting a balance-sheet turnaround: the $243M preferred stock redemption and lending-division sale have reduced structural leverage, same-store multifamily occupancy improved 1,190 bps year-over-year to 95.3%, and segment NOI excluding JV losses grew 22% in Q2 2026 [1]. Net insider buying of $4.33M over three years with zero insider selling signals some management conviction that the multifamily-and-hotel-focused strategy can stabilize the platform.</w:t>
      </w:r>
    </w:p>
    <w:p>
      <w:pPr>
        <w:spacing w:after="120"/>
      </w:pPr>
      <w:r>
        <w:rPr>
          <w:rFonts w:ascii="Calibri" w:hAnsi="Calibri"/>
          <w:b w:val="0"/>
          <w:color w:val="3A4A28"/>
          <w:sz w:val="20"/>
        </w:rPr>
        <w:t>The bear case is overwhelming. CMCT's stock has fallen roughly 99% over the trailing 52 weeks and required a 1:10 reverse split just to maintain Nasdaq's $1.00 minimum bid price, with the company still evaluating asset sales to raise liquidity [1][3]. Average daily dollar volume of $35K-$151K is far below IOWN's $1M liquidity floor, making the stock effectively untradeable at scale and triggering an automatic Infrastructure score of 0. D/E of 203%, ROE of -15.6%, and a -39.3% profit margin reflect a company still burning capital, and the 2026 proxy's non-disclosure of executive compensation is a governance red flag. This is a SELL on liquidity and solvency grounds alone, independent of any operational green shoots.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multifamily occupancy gains (95.3% same-store, +1,190 bps YoY) and 22% NOI growth ex-JV losses could stabilize FFO if sustained through 2027 [1]</w:t>
      </w:r>
    </w:p>
    <w:p>
      <w:pPr>
        <w:spacing w:before="40" w:after="40"/>
        <w:ind w:left="283"/>
      </w:pPr>
      <w:r>
        <w:rPr>
          <w:rFonts w:ascii="Calibri" w:hAnsi="Calibri"/>
          <w:b/>
          <w:color w:val="4A6B25"/>
          <w:sz w:val="20"/>
        </w:rPr>
        <w:t xml:space="preserve">2. </w:t>
      </w:r>
      <w:r>
        <w:rPr>
          <w:rFonts w:ascii="Calibri" w:hAnsi="Calibri"/>
          <w:b w:val="0"/>
          <w:color w:val="3A4A28"/>
          <w:sz w:val="20"/>
        </w:rPr>
        <w:t>Further asset sales or a strategic transaction (the company is actively 'evaluating potential asset sales') could accelerate deleveraging and reduce going-concern risk [1]</w:t>
      </w:r>
    </w:p>
    <w:p>
      <w:pPr>
        <w:spacing w:before="40" w:after="40"/>
        <w:ind w:left="283"/>
      </w:pPr>
      <w:r>
        <w:rPr>
          <w:rFonts w:ascii="Calibri" w:hAnsi="Calibri"/>
          <w:b/>
          <w:color w:val="4A6B25"/>
          <w:sz w:val="20"/>
        </w:rPr>
        <w:t xml:space="preserve">3. </w:t>
      </w:r>
      <w:r>
        <w:rPr>
          <w:rFonts w:ascii="Calibri" w:hAnsi="Calibri"/>
          <w:b w:val="0"/>
          <w:color w:val="3A4A28"/>
          <w:sz w:val="20"/>
        </w:rPr>
        <w:t>Successful Nasdaq compliance following the April 2026 reverse split removes near-term delisting risk that had been suppressing the share price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 average daily dollar volume of roughly $35K-$151K makes CMCT effectively untradeable for institutional-scale positions, and thin float amplifies volatility [2]</w:t>
      </w:r>
    </w:p>
    <w:p>
      <w:pPr>
        <w:spacing w:before="40" w:after="40"/>
        <w:ind w:left="283"/>
      </w:pPr>
      <w:r>
        <w:rPr>
          <w:rFonts w:ascii="Calibri" w:hAnsi="Calibri"/>
          <w:b/>
          <w:color w:val="4A6B25"/>
          <w:sz w:val="20"/>
        </w:rPr>
        <w:t xml:space="preserve">2. </w:t>
      </w:r>
      <w:r>
        <w:rPr>
          <w:rFonts w:ascii="Calibri" w:hAnsi="Calibri"/>
          <w:b w:val="0"/>
          <w:color w:val="3A4A28"/>
          <w:sz w:val="20"/>
        </w:rPr>
        <w:t>Elevated leverage (D/E ~203%) combined with negative ROE (-15.6%) and a -39.3% profit margin leaves little room for error if office or hotel fundamentals soften further [2]</w:t>
      </w:r>
    </w:p>
    <w:p>
      <w:pPr>
        <w:spacing w:before="40" w:after="40"/>
        <w:ind w:left="283"/>
      </w:pPr>
      <w:r>
        <w:rPr>
          <w:rFonts w:ascii="Calibri" w:hAnsi="Calibri"/>
          <w:b/>
          <w:color w:val="4A6B25"/>
          <w:sz w:val="20"/>
        </w:rPr>
        <w:t xml:space="preserve">3. </w:t>
      </w:r>
      <w:r>
        <w:rPr>
          <w:rFonts w:ascii="Calibri" w:hAnsi="Calibri"/>
          <w:b w:val="0"/>
          <w:color w:val="3A4A28"/>
          <w:sz w:val="20"/>
        </w:rPr>
        <w:t>Governance opacity — the 2026 proxy disclosed no executive compensation detail — raises questions about board oversight during a period of dilutive capital actions and asset disposals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CMCT's business is physical real estate ownership — multifamily housing, creative office buildings, and a hotel — which AI cannot structurally replace or substitute; no analyst commentary flags AI substitution risk for real property ownership [1][2]. The company's real financial threats (leverage, office demand softness, delisting risk) are balance-sheet and macro-driven, not AI-driven, so the core asset class is effectively immune to AI disruption. AI Opportunity (0/1): No AI-related revenue, PropTech deployment, or AI-driven leasing/underwriting tools were identified in company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Creative Media &amp; Community Trust Corp Q2 2026 Earnings Report — Revenue $29.7M, Net Loss $11.0M, FFO $3.4M,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CMCT Statistics: Price $5.25, Market Cap $15.47M, D/E 2.03, ROE -15.57%, Profit Margin -39.33%,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Panabee — 'CMCT Faces Nasdaq Delisting Threat: Reverse Splits &amp; Dilutive Redemptions Cloud Future, Executive Pay Undisclosed', 2026</w:t>
      </w:r>
    </w:p>
    <w:p>
      <w:pPr>
        <w:spacing w:before="20" w:after="20"/>
        <w:ind w:left="170"/>
      </w:pPr>
      <w:r>
        <w:rPr>
          <w:rFonts w:ascii="Calibri" w:hAnsi="Calibri"/>
          <w:b/>
          <w:color w:val="4A6B25"/>
          <w:sz w:val="15"/>
        </w:rPr>
        <w:t xml:space="preserve">4. </w:t>
      </w:r>
      <w:r>
        <w:rPr>
          <w:rFonts w:ascii="Calibri" w:hAnsi="Calibri"/>
          <w:b w:val="0"/>
          <w:color w:val="3A4A28"/>
          <w:sz w:val="17"/>
        </w:rPr>
        <w:t>MarketBeat / StockTitan — CMCT Insider Trading Activity (Form 4 filings, insider buy/sell summary),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