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CMC</w:t>
      </w:r>
      <w:r>
        <w:rPr>
          <w:rFonts w:ascii="Calibri" w:hAnsi="Calibri"/>
          <w:b/>
          <w:color w:val="1A2010"/>
          <w:sz w:val="40"/>
        </w:rPr>
        <w:t xml:space="preserve">  Commercial Metals Company</w:t>
      </w:r>
    </w:p>
    <w:p>
      <w:pPr>
        <w:spacing w:after="120"/>
      </w:pPr>
      <w:r>
        <w:rPr>
          <w:rFonts w:ascii="Calibri" w:hAnsi="Calibri"/>
          <w:b/>
          <w:color w:val="6E8450"/>
          <w:sz w:val="18"/>
        </w:rPr>
        <w:t>GROWTH SLEEVE · 2026-08-04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Steel · NYSE · United States</w:t>
      </w:r>
    </w:p>
    <w:p>
      <w:pPr>
        <w:spacing w:after="80"/>
      </w:pPr>
      <w:r>
        <w:rPr>
          <w:rFonts w:ascii="Calibri" w:hAnsi="Calibri"/>
          <w:b w:val="0"/>
          <w:color w:val="3A4A28"/>
          <w:sz w:val="20"/>
        </w:rPr>
        <w:t>Commercial Metals Company manufactures, recycles, and fabricates steel and steel products. CMC operates electric arc furnace (EAF) mini mills that melt recycled scrap metal, produces rebar, merchant bar, structural steel, and fence posts, and provides steel fabrication and construction solutions through subsidiaries including Tensar International (geosynthetics) and a growing precast concrete platform. Founded in 1915, headquartered in Irving, Texas.</w:t>
      </w:r>
    </w:p>
    <w:p>
      <w:r>
        <w:rPr>
          <w:rFonts w:ascii="Calibri" w:hAnsi="Calibri"/>
          <w:b/>
          <w:color w:val="6E8450"/>
          <w:sz w:val="18"/>
        </w:rPr>
        <w:t>13,000 Employees · https://www.cmc.com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CMC executed a meaningful strategic expansion beyond pure steel manufacturing by acquiring Tensar International (geosynthetics) and multiple precast concrete companies, creating a Construction Solutions Group whose Q3 2026 adjusted EBITDA more than doubled to $97.4M [1]. The TAG (Transformation, Advancement, Growth) initiative is driving operational efficiency across steel operations with measurable margin improvement. AI Deployment (0/2): No AI-powered products or quantified AI-driven savings reported in earnings calls or filings; the steel industry is exploring AI for production optimization but CMC has not disclosed specific AI implementations [3]. Market Share (1/2): CMC is a meaningful player in US steel manufacturing and the largest EAF rebar producer in North America, but is not the overall category leader — Nucor and Steel Dynamics have larger market positions [1]. Product Pipeline (1/2): Management guided to $40-50M sequential EBITDA improvement in Q4, supported by normalized operations and robust end-market demand, but no specific next-generation product launches with named products and timelines [1]. R&amp;D Intensity (0/1): Steel manufacturing is capital-intensive rather than R&amp;D-intensive; CMC's investment goes to capacity expansion and acquisitions rather than traditional R&amp;D activities.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CMC's stated values center on commitment, accountability, and integrity — generic corporate values interchangeable with any industrial company and not differentiated by a distinctive purpose beyond being a reliable steel manufacturer [3]. The company lacks a clear articulation of why it exists beyond making and selling steel products. Community Impact (0/2): CMC has a Sustainability Leadership Council established in 2020 and Board-level ESG oversight, but no specific charitable programs, foundation, or community investment with dollar amounts were identified in public materials [4]. Employee Retention (1/2): Glassdoor rating of 3.6/5 from 532 reviews — employees cite accessible leadership, development opportunities, and a sense of purpose from building critical infrastructure, though some note inconsistent communication across locations [3]. Adequate retention signals for the industrial sector. Insider Buying (0/2): No evidence of meaningful net insider buying by CEO Peter Matt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Q3 2026 was exceptionally strong: revenue of $2.48B (up 22.9% YoY), adjusted EPS of $1.73 (up 142.4%), and core EBITDA of $353.6M with 14.2% margin [1]. D/E of 80% is slightly above the 70% target but manageable with $918M TTM operating cash flow and $405M free cash flow. ROE of 13.8% is just below the 15% target. Forward P/E of 10.38 and PEG of 0.40 reflect compelling valuation — the stock is priced at a significant discount to growth. Revenue growth YoY of 15.2% exceeds the 10% target, while 5-year CAGR of 7.3% reflects the steel cycle's volatility. Profit margin of 6.7% is the main weakness, typical for steel manufacturing. Liquidity floor passes easily: 1.1M avg volume x $70.21 = $76.2M daily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CMC is a well-run industrial company with 111 years of operating history, but its strategic orientation is more finite than infinite. The company optimizes for cyclical steel margins, growth through acquisitions, and quarterly EBITDA targets rather than pursuing a transcendent purpose. Leadership is competent and the culture is adequate, but there is no evidence of the kind of cause-driven leadership that Sinek associates with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CMC exists to manufacture and sell steel and construction products profitably. While the company's EAF technology inherently recycles scrap steel (more sustainable than blast furnace production), this is an operational choice, not a Just Cause in Sinek's framework [3]. The company does not articulate a vision of a future state so compelling that people would sacrifice to advance it. Values of 'commitment, accountability, integrity' are generic and interchangeable with any industrial peer.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Peter Matt's orderly succession from predecessor Barbara Smith in 2023 signals stable governance, and Glassdoor reviews (3.6/5, 532 reviews) describe leadership as 'accessible, down-to-earth, and invested in developing employees at all levels' [3]. Employees report a sense of purpose from building critical infrastructure. However, reviews also cite inconsistent communication across locations, and no specific retention data or cultural programs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CMC's competitive positioning focuses on being 'the largest EAF rebar producer in North America' — language emphasizing leadership position rather than learning from rivals [1]. No acknowledgment of Nucor's or Steel Dynamics'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CMC has expanded meaningfully beyond pure steel manufacturing through the acquisition of Tensar International (geosynthetics) and precast concrete platforms, creating a Construction Solutions Group that now generates nearly $100M quarterly EBITDA [1]. This diversification represents genuine strategic evolution from a commodity steel producer to a construction solutions provider. However, the core steel business remains dominant and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TAG initiative represents a deliberate transformation program that invests in operational improvements rather than simply riding the steel cycle. The strategic acquisitions of Tensar and precast concrete companies required significant capital deployment ($2-3B in debt) to build the Construction Solutions platform [1]. However, these moves were executed during a strong steel market and are strategically obvious (diversifying a cyclical business), rather than contrarian bets against market consensus.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Commercial Metals Company delivered an exceptional Q3 2026 with $2.48B revenue (up 22.9% YoY), adjusted EPS of $1.73 (up 142.4%), and core EBITDA of $353.6M — all beating analyst estimates [1]. The Construction Solutions Group (Tensar + precast) is scaling rapidly with EBITDA more than doubling to $97.4M. At a forward P/E of 10.38 and PEG of 0.40, CMC offers compelling value with $405M TTM free cash flow, a 15.2% payout ratio leaving ample room for buybacks and deleveraging, and management guiding to $40-50M sequential EBITDA improvement in Q4 [1][2]. The stock is up 39.6% over 52 weeks as the steel cycle recovery and construction solutions diversification gain recognition.</w:t>
      </w:r>
    </w:p>
    <w:p>
      <w:pPr>
        <w:spacing w:after="120"/>
      </w:pPr>
      <w:r>
        <w:rPr>
          <w:rFonts w:ascii="Calibri" w:hAnsi="Calibri"/>
          <w:b w:val="0"/>
          <w:color w:val="3A4A28"/>
          <w:sz w:val="20"/>
        </w:rPr>
        <w:t>The bear case centers on steel cyclicality and structural margin limitations. CMC's 6.7% profit margin reflects the commodity nature of steel manufacturing — even in a strong quarter, margins trail most industrial peers [2]. The 5-year revenue CAGR of 7.3% masks extreme volatility (64% growth in FY2022 followed by two years of contraction), and the current recovery could reverse if construction spending weakens or steel imports increase. Debt-to-equity of 80% and $3.1B net debt reflect the leveraged acquisition strategy for Tensar and precast, creating financial vulnerability if steel prices decline. ROE of 13.8% is below the 15% target and modest for the leverage employed. The company lacks a distinctive purpose or innovation pipeline beyond operational optimization, and CEO Peter Matt has been in the role for less than three years with limited track record.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FY2026 guidance of $40-50M sequential EBITDA improvement driven by normalized operations, pricing momentum, and continued Construction Solutions Group scaling [1]</w:t>
      </w:r>
    </w:p>
    <w:p>
      <w:pPr>
        <w:spacing w:before="40" w:after="40"/>
        <w:ind w:left="283"/>
      </w:pPr>
      <w:r>
        <w:rPr>
          <w:rFonts w:ascii="Calibri" w:hAnsi="Calibri"/>
          <w:b/>
          <w:color w:val="4A6B25"/>
          <w:sz w:val="20"/>
        </w:rPr>
        <w:t xml:space="preserve">2. </w:t>
      </w:r>
      <w:r>
        <w:rPr>
          <w:rFonts w:ascii="Calibri" w:hAnsi="Calibri"/>
          <w:b w:val="0"/>
          <w:color w:val="3A4A28"/>
          <w:sz w:val="20"/>
        </w:rPr>
        <w:t>Construction Solutions Group (Tensar + precast) EBITDA trajectory — already doubling YoY to $97.4M in Q3, creating a less-cyclical earnings stream that could command a higher valuation multiple [1]</w:t>
      </w:r>
    </w:p>
    <w:p>
      <w:pPr>
        <w:spacing w:before="40" w:after="40"/>
        <w:ind w:left="283"/>
      </w:pPr>
      <w:r>
        <w:rPr>
          <w:rFonts w:ascii="Calibri" w:hAnsi="Calibri"/>
          <w:b/>
          <w:color w:val="4A6B25"/>
          <w:sz w:val="20"/>
        </w:rPr>
        <w:t xml:space="preserve">3. </w:t>
      </w:r>
      <w:r>
        <w:rPr>
          <w:rFonts w:ascii="Calibri" w:hAnsi="Calibri"/>
          <w:b w:val="0"/>
          <w:color w:val="3A4A28"/>
          <w:sz w:val="20"/>
        </w:rPr>
        <w:t>Forward PEG of 0.40 and P/E of 10.38 provide significant re-rating potential if the market begins valuing CMC as a diversified construction solutions company rather than a pure steel cyclical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Steel cyclicality — the 64% revenue surge in FY2022 followed by two years of contraction demonstrates the commodity price risk inherent in CMC's core business, and current strength may not be sustainable [2]</w:t>
      </w:r>
    </w:p>
    <w:p>
      <w:pPr>
        <w:spacing w:before="40" w:after="40"/>
        <w:ind w:left="283"/>
      </w:pPr>
      <w:r>
        <w:rPr>
          <w:rFonts w:ascii="Calibri" w:hAnsi="Calibri"/>
          <w:b/>
          <w:color w:val="4A6B25"/>
          <w:sz w:val="20"/>
        </w:rPr>
        <w:t xml:space="preserve">2. </w:t>
      </w:r>
      <w:r>
        <w:rPr>
          <w:rFonts w:ascii="Calibri" w:hAnsi="Calibri"/>
          <w:b w:val="0"/>
          <w:color w:val="3A4A28"/>
          <w:sz w:val="20"/>
        </w:rPr>
        <w:t>Leveraged acquisition strategy has pushed net debt to $3.1B and D/E to 80%, creating financial vulnerability if steel prices decline or construction demand weakens [2]</w:t>
      </w:r>
    </w:p>
    <w:p>
      <w:pPr>
        <w:spacing w:before="40" w:after="40"/>
        <w:ind w:left="283"/>
      </w:pPr>
      <w:r>
        <w:rPr>
          <w:rFonts w:ascii="Calibri" w:hAnsi="Calibri"/>
          <w:b/>
          <w:color w:val="4A6B25"/>
          <w:sz w:val="20"/>
        </w:rPr>
        <w:t xml:space="preserve">3. </w:t>
      </w:r>
      <w:r>
        <w:rPr>
          <w:rFonts w:ascii="Calibri" w:hAnsi="Calibri"/>
          <w:b w:val="0"/>
          <w:color w:val="3A4A28"/>
          <w:sz w:val="20"/>
        </w:rPr>
        <w:t>Low profit margin of 6.7% leaves minimal buffer in a downturn — even modest steel price declines could eliminate profitability in the North America Steel Group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CMC's core business is fundamentally physical — melting recycled scrap metal in electric arc furnaces, manufacturing rebar and structural steel, fabricating construction products, and pouring precast concrete [1]. AI cannot substitute for the physical transformation of scrap metal into steel, cannot replace the installed base of mini mills and fabrication facilities, and cannot displace the need for construction materials in infrastructure projects. The business is further protected by construction code requirements, local delivery economics (steel is heavy and expensive to ship), and long-standing customer relationships. AI is more likely to increase demand for CMC's products through accelerated data center and infrastructure construction. AI Opportunity (0/1): No AI-related revenue streams or products identified. CMC could deploy AI for production optimization, scrap sourcing, or demand forecasting but has not reported such initiatives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Commercial Metals Company Q3 FY2026 Earnings Release — $2.48B revenue, $1.73 adjusted EPS, $353.6M core EBITDA, June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CMC Statistics, Revenue History,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CMC corporate website, Comparably leadership ratings, and Glassdoor reviews (3.6/5, 532 reviews),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CMC SEC DEF 14A — ESG governance framework, Sustainability Leadership Council, Board oversight,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