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CNDT</w:t>
      </w:r>
      <w:r>
        <w:rPr>
          <w:rFonts w:ascii="Calibri" w:hAnsi="Calibri"/>
          <w:b/>
          <w:color w:val="1A2010"/>
          <w:sz w:val="40"/>
        </w:rPr>
        <w:t xml:space="preserve">  Conduent Incorporated</w:t>
      </w:r>
    </w:p>
    <w:p>
      <w:pPr>
        <w:spacing w:after="120"/>
      </w:pPr>
      <w:r>
        <w:rPr>
          <w:rFonts w:ascii="Calibri" w:hAnsi="Calibri"/>
          <w:b/>
          <w:color w:val="6E8450"/>
          <w:sz w:val="18"/>
        </w:rPr>
        <w:t>GROWTH SLEEVE · 2026-07-27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Conduent Incorporated provides business process solutions and digital interaction services to government, healthcare, transportation, and commercial clients worldwide. Spun off from Xerox Holdings in 2017, the company operates through Government Services (tolling, benefits administration), Transportation (traffic management, transit fare collection), and Commercial Industries (business process outsourcing). Headquartered in Florham Park, New Jersey.</w:t>
      </w:r>
    </w:p>
    <w:p>
      <w:r>
        <w:rPr>
          <w:rFonts w:ascii="Calibri" w:hAnsi="Calibri"/>
          <w:b/>
          <w:color w:val="6E8450"/>
          <w:sz w:val="18"/>
        </w:rPr>
        <w:t>51,000 Employees · https://www.conduent.com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has contracted for five consecutive years from $4.16B (2020) to $3.01B TTM, a 27% decline reflecting structural market share loss to larger competitors rather than product innovation [1]. No meaningful product launches or business model transformations in the last 5 years. AI Deployment (1/2): Conduent launched an AI Experience Center at Florham Park in January 2026 showcasing GenAI solutions for document processing, customer experience, and fraud mitigation, but no quantified AI revenue or cost savings have been disclosed [1]. Market Share (0/2): Mid-tier BPO provider competing against Accenture, Cognizant, and Infosys without meaningful category leadership; Commercial segment declined 10.2% YoY in Q1 2026 [1]. Product Pipeline (1/2): New business pipeline expanded to $3.5B, up 10% YoY, with Government pipeline showing particular strength and in-year 2026 pipeline nearly doubled, indicating commercial momentum [1]. R&amp;D Intensity (0/1): Minimal R&amp;D investment as a services company; no evidence of above-average technology spending relative to BPO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Conduent's stated purpose centers on delivering 'mission-critical solutions and exceptional experiences,' which is generic and interchangeable with any BPO competitor — it does not articulate a deeper purpose beyond operational execution. Community Impact (0/2): No evidence of distinctive charitable programs, foundation activity, or community investment beyond standard corporate initiatives. Employee Retention (0/2): Glassdoor rating of 3.0/5.0 based on 10,248 reviews with employees citing lack of career growth, disorganization, and poor communication from management — below average for the industry [3]. Insider Buying (2/2): Meaningful net insider buying — CEO Harsha Agadi purchased 100,000 shares at $2.81 in June 2026, with 4 insider buying transactions totaling 447,099 shares over 3 months, signaling strong leadership conviction during the turnaround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Conduent's financial position remains severely challenged: net loss of $162M on $3.01B TTM revenue yields -5.04% profit margin and -17.58% ROE, both scoring 0 [2]. D/E of 115.07% scores 0.80 (below 70% target but well above floor). Revenue declined approximately 6.5% annually over 5 years, falling below the -5% floor for 5yr CAGR [1][2]. Revenue growth YoY of -3.7% in Q1 2026 scores 0.54. Forward P/E and PEG are not calculable due to negative earnings and excluded from the calculation. Adj. EBITDA margin improved to 6.8% from 4.9% YoY, showing operational progress [1]. Liquidity passes: $1.62 x 1.2M avg daily volume = $1.9M.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Conduent operates in survival mode, not playing an infinite game. The focus on $100M cost reductions, divestitures exceeding $200M, and quarterly loss reduction signals a finite-minded turnaround strategy optimizing for near-term financial survival rather than a vision of enduring purpose [1]. The company has cycled through CEOs and revenue has contracted for five consecutive years.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Conduent's purpose of delivering 'mission-critical solutions' is functional but not a Just Cause in Sinek's framework — it describes what the company does, not why it exists [1]. No evidence of a vision that inspires sacrifice or endures beyond quarterly survival. Strategic narrative is about 'portfolio rationalization' and 'returning to growth' — finite language focused on near-term metrics.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environment evidenced by Glassdoor rating of 3.0/5.0 with employees citing 'lack of career growth potential, disorganization, and poor communication from management' [3]. Ongoing restructuring, headcount reductions, and CEO turnover create organizational instability and fear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Strategic communications focus on internal cost restructuring, pipeline expansion, and EBITDA improvement rather than learning from competitors like Accenture or Cognizant or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Conduent is divesting non-core businesses and refocusing on Government and Transportation segments where it has stronger competitive positions and AI-resistant moats [1]. This is incremental adaptation driven by financial necessity rather than a visionary pivot, but represents meaningful strategic reorientation from the original Xerox spinoff portfolio.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Agadi has made difficult decisions — executing $100M in cost reductions, pursuing $200M+ in divestitures, and personally purchasing 100,000 shares at $2.81 during the turnaround [1][4]. These demonstrate conviction, though the decisions are driven by necessity rather than strategic vision. The FY2027 outlook targeting flat-to-positive revenue growth and positive cash generation shows willingness to take near-term pain for stabilization.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Conduent presents a speculative turnaround play trading at a deeply discounted $229M market cap on $3.01B TTM revenue (0.08x P/S). Q1 2026 showed operational progress with Adj. EBITDA margin improving to 6.8% from 4.9% YoY, and pre-tax loss narrowing by $29M [1]. The $100M cost reduction program targets FY2026 EBITDA of $160M-$190M, up from $164M in FY2025. New business pipeline expansion to $3.5B (up 10% YoY) with Government pipeline up 29% suggests improving commercial momentum in AI-resistant service lines [1]. CEO Agadi's aggressive insider buying (447,099 shares in 3 months at ~$2.81) signals leadership conviction, and the $5.25 analyst consensus target implies 224% upside [2][4].</w:t>
      </w:r>
    </w:p>
    <w:p>
      <w:pPr>
        <w:spacing w:after="120"/>
      </w:pPr>
      <w:r>
        <w:rPr>
          <w:rFonts w:ascii="Calibri" w:hAnsi="Calibri"/>
          <w:b w:val="0"/>
          <w:color w:val="3A4A28"/>
          <w:sz w:val="20"/>
        </w:rPr>
        <w:t>The bear case is formidable. Revenue has declined at a ~6.5% annual rate over 5 years with no inflection point visible — FY2026 guidance of $2.8B-$2.9B represents continued contraction from the $3.01B TTM base [1]. The Commercial segment (down 10.2% YoY) faces accelerating AI disruption as enterprises adopt generative AI to automate the exact business processes Conduent manages. Negative profitability (-5.04% margin, -17.58% ROE) with 115% D/E creates limited financial runway [2]. Glassdoor ratings of 3.0/5.0 across 10,248 reviews suggest deep cultural challenges that impede the talent retention needed for transformation [3]. The FY2027 outlook of flat-to-positive revenue growth acknowledges that organic growth recovery remains years away at best.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$100M cost reduction program driving Adj. EBITDA margin expansion beyond the 6.8% achieved in Q1 2026, with FY2026 EBITDA guidance of $160M-$190M and FY2027 target of $190M-$220M [1]</w:t>
      </w:r>
    </w:p>
    <w:p>
      <w:pPr>
        <w:spacing w:before="40" w:after="40"/>
        <w:ind w:left="283"/>
      </w:pPr>
      <w:r>
        <w:rPr>
          <w:rFonts w:ascii="Calibri" w:hAnsi="Calibri"/>
          <w:b/>
          <w:color w:val="4A6B25"/>
          <w:sz w:val="20"/>
        </w:rPr>
        <w:t xml:space="preserve">2. </w:t>
      </w:r>
      <w:r>
        <w:rPr>
          <w:rFonts w:ascii="Calibri" w:hAnsi="Calibri"/>
          <w:b w:val="0"/>
          <w:color w:val="3A4A28"/>
          <w:sz w:val="20"/>
        </w:rPr>
        <w:t>Divestiture proceeds exceeding $200M in 2026 enabling debt reduction and balance sheet repair, potentially unlocking a re-rating from the current 0.08x P/S discount [1]</w:t>
      </w:r>
    </w:p>
    <w:p>
      <w:pPr>
        <w:spacing w:before="40" w:after="40"/>
        <w:ind w:left="283"/>
      </w:pPr>
      <w:r>
        <w:rPr>
          <w:rFonts w:ascii="Calibri" w:hAnsi="Calibri"/>
          <w:b/>
          <w:color w:val="4A6B25"/>
          <w:sz w:val="20"/>
        </w:rPr>
        <w:t xml:space="preserve">3. </w:t>
      </w:r>
      <w:r>
        <w:rPr>
          <w:rFonts w:ascii="Calibri" w:hAnsi="Calibri"/>
          <w:b w:val="0"/>
          <w:color w:val="3A4A28"/>
          <w:sz w:val="20"/>
        </w:rPr>
        <w:t>Government and Transportation segment contract wins accelerating from the $3.5B pipeline (up 10% YoY), shifting revenue mix toward higher-margin, AI-resistant service lines with regulatory moats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adoption by enterprise clients could accelerate Commercial segment decline (already down 10.2% YoY) as companies automate BPO functions internally using LLMs and process automation tools [1]</w:t>
      </w:r>
    </w:p>
    <w:p>
      <w:pPr>
        <w:spacing w:before="40" w:after="40"/>
        <w:ind w:left="283"/>
      </w:pPr>
      <w:r>
        <w:rPr>
          <w:rFonts w:ascii="Calibri" w:hAnsi="Calibri"/>
          <w:b/>
          <w:color w:val="4A6B25"/>
          <w:sz w:val="20"/>
        </w:rPr>
        <w:t xml:space="preserve">2. </w:t>
      </w:r>
      <w:r>
        <w:rPr>
          <w:rFonts w:ascii="Calibri" w:hAnsi="Calibri"/>
          <w:b w:val="0"/>
          <w:color w:val="3A4A28"/>
          <w:sz w:val="20"/>
        </w:rPr>
        <w:t>Persistent revenue decline at ~6.5% annually with no demonstrated ability to return to organic growth — FY2026 guidance of $2.8B-$2.9B confirms continued contraction [1][2]</w:t>
      </w:r>
    </w:p>
    <w:p>
      <w:pPr>
        <w:spacing w:before="40" w:after="40"/>
        <w:ind w:left="283"/>
      </w:pPr>
      <w:r>
        <w:rPr>
          <w:rFonts w:ascii="Calibri" w:hAnsi="Calibri"/>
          <w:b/>
          <w:color w:val="4A6B25"/>
          <w:sz w:val="20"/>
        </w:rPr>
        <w:t xml:space="preserve">3. </w:t>
      </w:r>
      <w:r>
        <w:rPr>
          <w:rFonts w:ascii="Calibri" w:hAnsi="Calibri"/>
          <w:b w:val="0"/>
          <w:color w:val="3A4A28"/>
          <w:sz w:val="20"/>
        </w:rPr>
        <w:t>Negative cash generation and 115% D/E create refinancing risk if the turnaround timeline extends, with limited margin for execution missteps on cost reduction targets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Conduent's core BPO business faces significant AI disruption risk. Generative AI and process automation technologies can directly substitute document processing, customer service, and back-office operations that constitute the Commercial segment (down 10.2% YoY) [1]. However, Government Services (up 4.6%) and Transportation (up 2.3%) benefit from regulatory barriers, long-term contracts, and physical infrastructure requirements (tolling systems, transit fare collection) that provide partial protection from AI displacement. The BPO market broadly faces compression as enterprises adopt generative AI to automate processes internally. AI Opportunity (1/1): The AI Experience Center launched in January 2026 demonstrates active AI product development across customer experience, document processing, and fraud mitigation, with GenAI solutions in deployment for clients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Conduent Q1 2026 Earnings Press Release — $723M revenue (down 3.7%), Adj. EBITDA $49M (6.8% margin), AI Experience Center,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CNDT Key Statistics, $229M market cap, financial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Conduent Employee Reviews (10,248 reviews, 3.0/5.0 rating),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MarketBeat — CNDT Insider Trading Activity, CEO Agadi 100K share purchase at $2.81,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