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CNI</w:t>
      </w:r>
      <w:r>
        <w:rPr>
          <w:rFonts w:ascii="Calibri" w:hAnsi="Calibri"/>
          <w:b/>
          <w:color w:val="1A2010"/>
          <w:sz w:val="40"/>
        </w:rPr>
        <w:t xml:space="preserve">  Canadian National Railway Company</w:t>
      </w:r>
    </w:p>
    <w:p>
      <w:pPr>
        <w:spacing w:after="120"/>
      </w:pPr>
      <w:r>
        <w:rPr>
          <w:rFonts w:ascii="Calibri" w:hAnsi="Calibri"/>
          <w:b/>
          <w:color w:val="6E8450"/>
          <w:sz w:val="18"/>
        </w:rPr>
        <w:t>DIVIDEND SLEEVE · 2026-07-25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Railroads · NYSE · Canada</w:t>
      </w:r>
    </w:p>
    <w:p>
      <w:pPr>
        <w:spacing w:after="80"/>
      </w:pPr>
      <w:r>
        <w:rPr>
          <w:rFonts w:ascii="Calibri" w:hAnsi="Calibri"/>
          <w:b w:val="0"/>
          <w:color w:val="3A4A28"/>
          <w:sz w:val="20"/>
        </w:rPr>
        <w:t>Canadian National Railway operates the largest rail network in Canada and the only transcontinental network in North America, spanning approximately 20,000 route miles connecting the Atlantic and Pacific oceans through Canada and the U.S. Midwest. CN transports petroleum, grain, forest products, metals, automotive, and intermodal freight across three coasts.</w:t>
      </w:r>
    </w:p>
    <w:p>
      <w:r>
        <w:rPr>
          <w:rFonts w:ascii="Calibri" w:hAnsi="Calibri"/>
          <w:b/>
          <w:color w:val="6E8450"/>
          <w:sz w:val="18"/>
        </w:rPr>
        <w:t>23,839 Employees · https://www.cn.ca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CN delivered Q2 2026 revenue of C$4.753B (up 11% YoY), a significant acceleration from FY2025's 2% growth, with revenue ton miles up 5% and H1 2026 free cash flow of C$1.842B up 19% YoY [1]. The strategic agreement with Union Pacific announced in 2026 expands network reach and unlocks new growth corridors. AI Deployment (2/2): CN's seven-year Google Cloud co-innovation partnership builds a 'digital nervous system' for the 20,000-mile network, with Automated Inspection Portals (AIP) using AI-powered HD cameras to detect maintenance issues in real-time, plus predictive maintenance, network optimization, and fuel efficiency algorithms achieving a 3% fuel improvement in Q2 [2]. Market Share (1/2): CN operates the only transcontinental rail network in North America with strong competitive positioning, but BNSF and Union Pacific provide formidable competition, and CN's operating ratio of 62.5% remains behind industry leader CSX [1]. Pipeline (0/2): Growth remains incremental through volume recovery and pricing rather than transformative category creation; guidance upgrade is to 'low single-digit' RTM growth from flat, reflecting modest aspirations [1]. R&amp;D Intensity (1/1): Google Cloud partnership, AIP technology deployment, battery-electric locomotive investment, and 50 zero-emission trucks represent above-average technology spending for the railroad sector [2][3].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CN's purpose of 'moving the economy' as critical infrastructure connecting three coasts reflects genuine intentionality — the company positions itself as essential to North American trade rather than just a freight hauler, validated by 107+ years of continuous operation through world wars, depressions, and trade disruptions [3]. CEO Tracy Robinson's 'Make the Plan, Run the Plan, Sell the Plan' is distinctively articulated. Community Impact (2/2): CN operates the Stronger Communities Fund investing in communities along its network, launched an Indigenous Reconciliation Action Plan with 16 measurable commitments, and earned Corporate Knights Best 50 Corporate Citizens recognition [3]. The company committed to net-zero by 2050 with a 43% carbon intensity reduction target by 2030, invested in battery-electric locomotives, and deployed the Falcon Premium intermodal service achieving 75% GHG reduction versus trucks [3]. Employee Retention (1/2): Stable workforce of 23,839 with leadership continuity under Tracy Robinson since 2022 and structured succession through October 2025 appointments of Whitehead (COO) and Drysdale (CCO) [2]. Railroad labor relations remain historically contentious with periodic strike threats and mandatory arbitration. Insider Buying (0/2): No evidence of significant open-market insider purchases by executives in the last 12 months; management has meaningful equity exposure through compensation structures but this reflects corporate governance rather than active conviction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 delivers exceptional financial infrastructure for a capital-intensive railroad. Q2 2026 revenue of C$4.753B (up 11%) with C$1.249B net income (up 7%) and an operating ratio of 62.5% demonstrate strong execution [1]. Forward P/E of 23.2x has expanded from 17.0x as the stock rose 18% from $109 to $130, making valuation less attractive [5]. ROE of ~22% and profit margin of ~27% reflect pricing power in a duopoly market [5]. D/E of 106% with C$22.3B total debt at 2.61x adjusted debt-to-EBITDA is manageable for an infrastructure business with predictable cash flows [1]. H1 2026 FCF of C$1.842B (up 19% YoY) funds the C$2.8B capital plan, C$454M in buybacks, and a dividend that has grown 28 consecutive years with an 8.8% 5yr CAGR at a 47% payout ratio [1]. Liquidity easily cleared at ~$229M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CN plays a naturally infinite game as critical infrastructure — railroads operate on multi-decade investment horizons by necessity, and CN's 107-year history demonstrates institutional endurance. Tracy Robinson's disciplined operating philosophy and the Q2 2026 results (revenue up 11%, guidance raised) demonstrate operational momentum. However, the focus on operating ratio optimization and quarterly EPS growth reflects finite game pressure from Wall Street, and the 1995 privatization fundamentally shifted the company's orientation from public service to shareholder returns.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CN's purpose of 'moving the economy' as the only transcontinental railroad in North America is genuine and validated by 107+ years of continuous operation through world wars, depressions, privatization (1995), and trade disruptions [3]. The cause survived the failed Kansas City Southern merger attempt and multiple CEO transitions. However, the cause remains more functional than aspirational — it describes what CN does rather than a vision of a better future that people sacrifice to advance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 maintains stable operations with 23,839 employees and leadership continuity under Tracy Robinson since 2022, with the October 2025 appointments of Whitehead (COO) and Drysdale (CCO) showing structured succession planning [2]. However, railroad labor relations are inherently adversarial with periodic strike threats and contract disputes, and precision scheduled railroading creates operational pressure on front-line workers that can strain trust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CN's competitive positioning acknowledges the strengths of rivals — the Google Cloud partnership was motivated by recognizing that technology leadership required external expertise, and the Union Pacific strategic agreement reflects collaborative rather than destructive competitive thinking [2]. Management discusses operating ratio improvement as a journey toward industry benchmarks rather than competitor destruction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CN's 1995 privatization from a government-owned railroad to a publicly traded company was a genuine existential transformation that fundamentally changed the operating culture [3]. The 2026 Union Pacific strategic agreement and Google Cloud digital transformation represent meaningful but incremental adaptation. The failed 2021 Kansas City Southern bid showed willingness to pursue transformative deals, though inability to close raises execution questions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Tracy Robinson's leadership has demonstrated conviction through restructuring senior management, the Union Pacific strategic agreement, and maintaining the net-zero 2050 commitment with specific intermediate targets and real capital investment in battery-electric locomotives and zero-emission trucks [3]. The Q2 2026 guidance raise after delivering 11% revenue growth shows operational confidence. However, mid-to-high single-digit EPS growth guidance suggests prioritizing steady returns over ambitious reinvestment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Canadian National Railway is a best-in-class infrastructure franchise operating the only transcontinental rail network in North America, delivering accelerating results with Q2 2026 revenue of C$4.753B (up 11% YoY), EPS of C$2.06 (up 10%), and H1 2026 free cash flow of C$1.842B up 19% [1]. Management raised 2026 guidance to low single-digit RTM growth (from flat) and mid-to-high single-digit EPS growth, citing stronger business momentum from grain, energy products, and the Union Pacific strategic agreement [1]. The 28-year consecutive dividend growth streak with 8.8% 5yr CAGR and manageable 47% payout ratio provides reliable income, while the Google Cloud AI partnership delivers measurable operational improvements including 3% fuel efficiency gains [2][5].</w:t>
      </w:r>
    </w:p>
    <w:p>
      <w:pPr>
        <w:spacing w:after="120"/>
      </w:pPr>
      <w:r>
        <w:rPr>
          <w:rFonts w:ascii="Calibri" w:hAnsi="Calibri"/>
          <w:b w:val="0"/>
          <w:color w:val="3A4A28"/>
          <w:sz w:val="20"/>
        </w:rPr>
        <w:t>The bear case centers on valuation expansion and structural growth constraints. Forward P/E has expanded to 23.2x from 17.0x as the stock rallied 18% from $109 to $130, compressing the margin of safety for a company guiding mid-to-high single-digit EPS growth [5]. PEG ratio of ~3.0x suggests the stock is fully valued relative to growth expectations. The 5yr revenue CAGR of ~2% reflects the mature nature of railroad freight, and even the improved Q2 2026 growth of 11% may be cyclical rather than structural. D/E of 106% with C$22.3B total debt against limited cash creates refinancing risk, while tariff uncertainty remains — CN pulled its 2024-2026 outlook previously amid trade policy disruptions that could reduce cross-border freight volumes [1][3]. Climate transition costs — battery-electric locomotives, emission reduction targets — represent significant capital deployment with uncertain returns, and railroad labor disruptions remain a recurring threat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results exceeded expectations with revenue up 11% and guidance raised — momentum from grain, energy products, and Union Pacific partnership could sustain elevated growth through H2 2026 [1]</w:t>
      </w:r>
    </w:p>
    <w:p>
      <w:pPr>
        <w:spacing w:before="40" w:after="40"/>
        <w:ind w:left="283"/>
      </w:pPr>
      <w:r>
        <w:rPr>
          <w:rFonts w:ascii="Calibri" w:hAnsi="Calibri"/>
          <w:b/>
          <w:color w:val="4A6B25"/>
          <w:sz w:val="20"/>
        </w:rPr>
        <w:t xml:space="preserve">2. </w:t>
      </w:r>
      <w:r>
        <w:rPr>
          <w:rFonts w:ascii="Calibri" w:hAnsi="Calibri"/>
          <w:b w:val="0"/>
          <w:color w:val="3A4A28"/>
          <w:sz w:val="20"/>
        </w:rPr>
        <w:t>Google Cloud AI partnership delivering measurable operational gains including 3% fuel efficiency improvement, AI-powered inspection portals reducing unplanned downtime, and network optimization across 20,000 route miles [2]</w:t>
      </w:r>
    </w:p>
    <w:p>
      <w:pPr>
        <w:spacing w:before="40" w:after="40"/>
        <w:ind w:left="283"/>
      </w:pPr>
      <w:r>
        <w:rPr>
          <w:rFonts w:ascii="Calibri" w:hAnsi="Calibri"/>
          <w:b/>
          <w:color w:val="4A6B25"/>
          <w:sz w:val="20"/>
        </w:rPr>
        <w:t xml:space="preserve">3. </w:t>
      </w:r>
      <w:r>
        <w:rPr>
          <w:rFonts w:ascii="Calibri" w:hAnsi="Calibri"/>
          <w:b w:val="0"/>
          <w:color w:val="3A4A28"/>
          <w:sz w:val="20"/>
        </w:rPr>
        <w:t>28-year consecutive dividend growth streak with 8.8% 5yr CAGR and 47% payout ratio providing significant runway for continued dividend increases, supported by H1 2026 FCF of C$1.842B (up 19%)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expansion to 23.2x (from 17.0x) with PEG of ~3.0x suggests the stock is fully valued for mid-to-high single-digit EPS growth — any growth disappointment could trigger meaningful multiple contraction [5]</w:t>
      </w:r>
    </w:p>
    <w:p>
      <w:pPr>
        <w:spacing w:before="40" w:after="40"/>
        <w:ind w:left="283"/>
      </w:pPr>
      <w:r>
        <w:rPr>
          <w:rFonts w:ascii="Calibri" w:hAnsi="Calibri"/>
          <w:b/>
          <w:color w:val="4A6B25"/>
          <w:sz w:val="20"/>
        </w:rPr>
        <w:t xml:space="preserve">2. </w:t>
      </w:r>
      <w:r>
        <w:rPr>
          <w:rFonts w:ascii="Calibri" w:hAnsi="Calibri"/>
          <w:b w:val="0"/>
          <w:color w:val="3A4A28"/>
          <w:sz w:val="20"/>
        </w:rPr>
        <w:t>Tariff and trade policy uncertainty — CN previously pulled its 2024-2026 outlook amid tariff disruptions, and cross-border freight volumes remain vulnerable to North American trade policy shifts [1]</w:t>
      </w:r>
    </w:p>
    <w:p>
      <w:pPr>
        <w:spacing w:before="40" w:after="40"/>
        <w:ind w:left="283"/>
      </w:pPr>
      <w:r>
        <w:rPr>
          <w:rFonts w:ascii="Calibri" w:hAnsi="Calibri"/>
          <w:b/>
          <w:color w:val="4A6B25"/>
          <w:sz w:val="20"/>
        </w:rPr>
        <w:t xml:space="preserve">3. </w:t>
      </w:r>
      <w:r>
        <w:rPr>
          <w:rFonts w:ascii="Calibri" w:hAnsi="Calibri"/>
          <w:b w:val="0"/>
          <w:color w:val="3A4A28"/>
          <w:sz w:val="20"/>
        </w:rPr>
        <w:t>D/E of 106% with C$22.3B total debt and capital-intensive sustainability investments create ongoing financing needs, while railroad labor disruptions and precision scheduled railroading tensions remain structural risks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Railroads are structurally immune to AI displacement — 20,000 miles of physical track, rolling stock, and logistics infrastructure cannot be digitized or replaced by software [1]. CN's transcontinental network is a natural monopoly with barriers to entry that no AI can replicate. AI-driven economic growth (data center construction requiring power infrastructure, increased manufacturing) drives higher freight volumes rather than displacing them [2]. However, trucking competitors may adopt AI-driven optimization faster due to shorter fleet replacement cycles (3-4 years vs rail's 18.4-year average), creating incremental competitive pressure on intermodal market share [2]. AI Opportunity (1/1): CN's Google Cloud partnership generates measurable value — Q2 2026 showed 3% fuel efficiency improvement, Automated Inspection Portals with AI-powered defect detection reduce unplanned downtime, and network optimization algorithms improve asset utilization across the entire 20,000-mile network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CN Q2 2026 Earnings Release — C$4.753B revenue (up 11%), EPS C$2.06 (up 10%), operating ratio 62.5%, H1 FCF C$1.842B (up 19%), guidance raised, July 24, 2026</w:t>
      </w:r>
    </w:p>
    <w:p>
      <w:pPr>
        <w:spacing w:before="20" w:after="20"/>
        <w:ind w:left="170"/>
      </w:pPr>
      <w:r>
        <w:rPr>
          <w:rFonts w:ascii="Calibri" w:hAnsi="Calibri"/>
          <w:b/>
          <w:color w:val="4A6B25"/>
          <w:sz w:val="15"/>
        </w:rPr>
        <w:t xml:space="preserve">2. </w:t>
      </w:r>
      <w:r>
        <w:rPr>
          <w:rFonts w:ascii="Calibri" w:hAnsi="Calibri"/>
          <w:b w:val="0"/>
          <w:color w:val="3A4A28"/>
          <w:sz w:val="17"/>
        </w:rPr>
        <w:t>CN AI Strategy and Leadership — Google Cloud 7-year partnership, AIP technology, Union Pacific strategic agreement, CEO Tracy Robinson (since 2022), senior management appointments</w:t>
      </w:r>
    </w:p>
    <w:p>
      <w:pPr>
        <w:spacing w:before="20" w:after="20"/>
        <w:ind w:left="170"/>
      </w:pPr>
      <w:r>
        <w:rPr>
          <w:rFonts w:ascii="Calibri" w:hAnsi="Calibri"/>
          <w:b/>
          <w:color w:val="4A6B25"/>
          <w:sz w:val="15"/>
        </w:rPr>
        <w:t xml:space="preserve">3. </w:t>
      </w:r>
      <w:r>
        <w:rPr>
          <w:rFonts w:ascii="Calibri" w:hAnsi="Calibri"/>
          <w:b w:val="0"/>
          <w:color w:val="3A4A28"/>
          <w:sz w:val="17"/>
        </w:rPr>
        <w:t>CN ESG and Sustainability — Best 50 Corporate Citizens, Indigenous Reconciliation Action Plan, net-zero 2050, battery-electric locomotives, Falcon Premium (75% GHG reduction), Sustainalytics Strong ESG rating</w:t>
      </w:r>
    </w:p>
    <w:p>
      <w:pPr>
        <w:spacing w:before="20" w:after="20"/>
        <w:ind w:left="170"/>
      </w:pPr>
      <w:r>
        <w:rPr>
          <w:rFonts w:ascii="Calibri" w:hAnsi="Calibri"/>
          <w:b/>
          <w:color w:val="4A6B25"/>
          <w:sz w:val="15"/>
        </w:rPr>
        <w:t xml:space="preserve">4. </w:t>
      </w:r>
      <w:r>
        <w:rPr>
          <w:rFonts w:ascii="Calibri" w:hAnsi="Calibri"/>
          <w:b w:val="0"/>
          <w:color w:val="3A4A28"/>
          <w:sz w:val="17"/>
        </w:rPr>
        <w:t>CN corporate website, Comparably executive team rating (D), leadership structure</w:t>
      </w:r>
    </w:p>
    <w:p>
      <w:pPr>
        <w:spacing w:before="20" w:after="20"/>
        <w:ind w:left="170"/>
      </w:pPr>
      <w:r>
        <w:rPr>
          <w:rFonts w:ascii="Calibri" w:hAnsi="Calibri"/>
          <w:b/>
          <w:color w:val="4A6B25"/>
          <w:sz w:val="15"/>
        </w:rPr>
        <w:t xml:space="preserve">5. </w:t>
      </w:r>
      <w:r>
        <w:rPr>
          <w:rFonts w:ascii="Calibri" w:hAnsi="Calibri"/>
          <w:b w:val="0"/>
          <w:color w:val="3A4A28"/>
          <w:sz w:val="17"/>
        </w:rPr>
        <w:t>Yahoo Finance / financial data for CNI (Canadian National Railway), stock price $129.58, forward PE 23.15, dividend yield 2.38%,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