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COO</w:t>
      </w:r>
      <w:r>
        <w:rPr>
          <w:rFonts w:ascii="Calibri" w:hAnsi="Calibri"/>
          <w:b/>
          <w:color w:val="1A2010"/>
          <w:sz w:val="40"/>
        </w:rPr>
        <w:t xml:space="preserve">  The Cooper Companies,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2026-09-12 · Inspire: -82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Medical Instruments &amp; Supplies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Cooper Companies operates through two segments: CooperVision, a global leader in contact lenses specializing in toric, multifocal, and myopia management lenses (MiSight), and CooperSurgical, a leader in fertility and women's healthcare products. Q3 FY2026 revenue of $1.066B (+1% YoY) was pressured by planned U.S. channel inventory reductions at CooperVision, while CooperSurgical delivered 3% organic growth led by 5% fertility revenue gains. Following a strategic review, the company decided to retain CooperSurgical. FY2026 guidance calls for $4.23-4.25B revenue (2-3% organic growth) and non-GAAP EPS of $4.51-$4.55. Market cap approximately $12.4B.</w:t>
      </w:r>
    </w:p>
    <w:p>
      <w:r>
        <w:rPr>
          <w:rFonts w:ascii="Calibri" w:hAnsi="Calibri"/>
          <w:b/>
          <w:color w:val="6E8450"/>
          <w:sz w:val="18"/>
        </w:rPr>
        <w:t>15,000 Employees · https://www.coopercos.com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CooperVision has delivered meaningful product innovations including the FDA-approved MiSight 1 day myopia-control lens — the first and only FDA-approved soft contact lens to slow myopia progression in children — with completed global post-approval studies spanning 100+ clinical sites and 3,000+ children [1][5]. Expansion of daily silicone hydrogel platforms (MyDay, clariti) and enhanced toric/multifocal designs have driven specialty lens revenue to $363.8M in Q3 (+2% organic) [1]. CooperSurgical's fertility business grew to $141.2M quarterly revenue through organic growth and strategic acquisitions. AI Deployment (1/2): A 2025 Ocumetra partnership shipped the mEYE Gauge machine-learning tool to estimate ocular axial length for myopia risk without biometry equipment, and AI is used internally across forecasting, marketing, and shared services for margin expansion, though no COO-specific AI product revenue has been quantified [5]. Market Share (2/2): CooperVision holds the #1 global position by contact lens wearers and CooperSurgical is the global fertility-device leader, both with category-defining positions in their respective markets [1][2]. Product Pipeline (1/2): FY2026 pipeline includes continued myopia-management geographic expansion and next-generation daily lens platforms, though specific next-gen products with named launch dates and revenue visibility beyond MiSight rollout are not publicly detailed [1]. R&amp;D Intensity (0/1): No R&amp;D-as-%-of-revenue data relative to medtech peers was found in available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Cooper's mission — 'people helping people, applying our collective knowledge, experience and talents to improve lives, one person at a time' — is specific and thoughtful, connecting CooperVision's vision correction and CooperSurgical's fertility products to a differentiated purpose that genuinely shapes the company's two-segment strategy [5]. The decision to retain CooperSurgical after a strategic review reinforces that the mission informs capital allocation [1]. Community Impact (1/2): CooperCompanies has published annual ESG reports since 2022, highlighting GHG emissions reductions exceeding 7% while increasing manufacturing output through its combined heat and power facility in Puerto Rico, and expanded access to myopia management in underserved markets [6]. However, no specific large-dollar community investment program or foundation was identified. Employee Retention (0/2): Glassdoor ratings of approximately 3.0/5 are below the manufacturing sector average, with mixed reviews noting concerns about senior management accessibility and organizational dynamics [4]. No standout retention or tenure data was found. Insider Buying (2/2): CEO Al White and multiple executives/directors bought shares in December 2025 near multi-year lows and again ahead of the March 2026 earnings release, representing specific, recent insider conviction at depressed valuations [7].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growth-stock metrics. D/E of 30.5% ($2.54B total debt against $8.33B stockholders' equity) is well below the 70% target [1][3]. ROE of 10.88% trails the 15% target but improved meaningfully from 4.87% in the prior quarter, partly aided by a $307.2M discrete tax benefit in Q3 that inflated trailing earnings [1]. Revenue growth YoY of approximately 5% (FY2026 guidance: 2-3% organic, ~5-6% reported) falls short of the 10% target, reflecting planned CooperVision channel inventory destocking [1]. 5-year revenue CAGR of ~6.7% ($2.92B FY2021 to ~$4.24B FY2026) is solid but below target. Forward P/E of 14.47x is attractively below the 20x target. Forward PEG of 1.77 is inside the 3.0 floor but above the 1.0 target, reflecting moderated growth expectations versus the prior quarter's 0.67 [3]. Profit margin of ~10% (normalized GAAP) trails the 20% target, reflecting acquisition-related intangible amortization, though non-GAAP operating margin is a healthier 26% [1]. Free cash flow surged 66% to $273M in Q3. Liquidity floor easily cleared at ~$106M daily trading value (1.67M shares × $63.48).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Cooper Companies shows a MIXED infinite-game profile. The 'people helping people' mission has genuinely shaped strategy — building CooperVision into the global contact lens leader by wearers and CooperSurgical into a fertility-care leader — and the decision to retain CooperSurgical after a strategic review demonstrates commitment to the mission-central segment over short-term value extraction [1]. Recent insider buying signals real leadership conviction. However, mixed Glassdoor sentiment on management accessibility and earnings-call language focused on organic growth percentages and capital allocation rather than purpose suggest the infinite-game mindset is not yet fully embedded in organizational culture.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The 'people helping people' mission has driven real strategic choices — continued investment in pediatric myopia management (MiSight, a category with long-term vision-health impact), building CooperSurgical into a global fertility leader, and critically, the decision to retain CooperSurgical after a strategic review rather than divest it for near-term value [1][5]. The retention decision strengthens the case that the purpose shapes capital allocation. However, the cause has not been tested through multi-decade crisis or leadership transition, keeping this at 2/3 rather than the top tier.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Cooper maintains a stable 15,000+ employee organization across 130+ countries with leadership continuity under CEO Al White since 2020. However, Glassdoor ratings of ~3.0/5 with recurring concerns about senior management accessibility and workplace dynamics suggest the culture falls short of a high-trust environment [4]. No evidence of exceptional employee empowerment, unusually long tenure, or psychological safety practices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specific evidence of Cooper management publicly acknowledging competitor strengths (Alcon, Johnson &amp; Johnson Vision, Bausch + Lomb) as motivation for self-improvement [1][2]. Competitive positioning is described primarily in share-leadership terms ('#1 by wearers') rather than a learning-oriented rivalry framing that Sinek would recognize as infinite-minded.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Cooper has evolved over decades from a diversified conglomerate into a focused two-segment healthcare leader in vision care and fertility [5]. The strategic review of CooperSurgical demonstrated willingness to evaluate the portfolio, ultimately deciding to retain it. The expansion into myopia management through MiSight represents a meaningful adjacent-market entry. These are genuine portfolio evolutions but not a transformative, cause-driven reinvention on the scale of an industry-redefining pivot.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Al White and multiple executives bought shares in December 2025 and March 2026 at multi-year stock lows, signaling personal capital commitment behind the long-term story [7]. The decision to retain CooperSurgical despite activist/strategic pressure to sell shows willingness to prioritize mission alignment over near-term value realization. Continued investment in myopia management despite reimbursement headwinds demonstrates some willingness to fund long-cycle bets, though no clear example of sacrificing near-term earnings for a costly principled stance was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Cooper Companies at 14.47x forward earnings offers a reasonably valued entry into a defensive healthcare compounder with global leadership in specialty contact lenses and fertility devices. Q3 FY2026 free cash flow surged 66% to $273M, and the company is aggressively returning capital via a $3B share repurchase authorization ($339M executed in Q3 alone) [1]. The CooperVision specialty lens portfolio (toric, multifocal, MiSight myopia management) commands premium pricing in the fastest-growing contact lens segments, with specialty revenue of $363.8M in Q3 [1]. CooperSurgical's fertility business delivered 5% organic growth on secular tailwinds as global IVF adoption expands, and the strategic review conclusion to retain CooperSurgical removes overhang while preserving mission-central revenue [1]. The balance sheet is conservative at 30.5% D/E with a long-term free cash flow target exceeding $2.2B over FY2026-2028. Insider buying by CEO Al White and multiple executives at multi-year lows signals leadership conviction [7].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decelerating organic growth and structural profitability constraints. FY2026 organic revenue guidance of just 2-3% represents a meaningful slowdown, with Q3 reporting only 1% total growth as U.S. channel inventory destocking pressured CooperVision [1]. The PEG ratio deteriorated from 0.67 to 1.77 as growth expectations moderated, and revenue growth YoY of ~5% and 5-year CAGR of ~6.7% both fall short of the 10% Infrastructure target. GAAP profit margin of ~10% is depressed by significant acquisition-related intangible amortization, and ROE of 10.88% remains below the 15% target, suggesting the company has not yet fully optimized returns on its $8.3B equity base (much of which is acquisition goodwill) [3]. The Inspire Impact Score of -82 (MISALIGNED), driven by CooperSurgical's involvement in IVF and reproductive health, will limit allocation for faith-based investors. While non-GAAP metrics paint a healthier picture (26% operating margin, 16% EPS growth), the stock depends on CooperVision destocking completion and renewed organic growth to re-rate.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Completion of U.S. CooperVision channel inventory destocking expected by end of FY2026, which should normalize organic growth back toward mid-single-digit levels and improve investor sentiment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scaling of MiSight myopia management globally — the only FDA-approved soft lens for childhood myopia control — as global myopia prevalence rises and regulatory approvals expand to additional markets and age groups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Free cash flow inflection ($273M in Q3 alone, +66% YoY) supporting accelerated buybacks under the $3B authorization (~$1.5B remaining) and potential accretive bolt-on M&amp;A in fertility and specialty lens adjacencies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organic growth deceleration below 3% if CooperVision inventory destocking extends beyond FY2026 or underlying contact lens demand weakens due to economic pressure on discretionary healthcare spending or increased refractive surgery adoption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Structural GAAP profitability gap — 10% net margin and 10.88% ROE are well below Infrastructure targets, reflecting acquisition-related amortization and a bloated equity base of $8.3B that may not generate adequate returns for shareholders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pressure from Johnson &amp; Johnson Vision and Alcon in specialty contact lenses, particularly in myopia management where competitors are developing rival solutions that could erode MiSight's first-mover advantage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Cooper's core businesses — manufacturing contact lenses and providing fertility/surgical devices — are deeply physical, highly regulated medical products that AI structurally cannot displace [1]. Contact lenses require materials science, precision manufacturing, and FDA-regulated quality processes. Fertility treatments (IVF, embryo transfer) require physical medical procedures and clinical expertise. Analysts have not flagged AI disruption as a risk factor for Cooper's business model. Some indirect exposure exists as AI-assisted diagnostic tools could shift value toward software in the optometry channel, but this would likely increase lens adoption rather than replace it. The score stays at 7 (PROTECTED rather than IMMUNE) because AI is neutral rather than a demand tailwind for Cooper's products. AI Opportunity (0/1): The Ocumetra mEYE Gauge partnership deploys machine learning for myopia risk assessment, and AI is used for internal efficiency, but no COO-specific AI product revenue has been quantified or disclosed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-82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Abortifacients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In Vitro Fertilization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CooperCompanies Q3 FY2026 Earnings Release — Revenue $1.066B (+1%), Non-GAAP EPS $1.15 (+4%), Free Cash Flow $273M (+66%), Strategic Review: CooperSurgical Retained, GlobeNewsWire,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CooperCompanies Q2 FY2026 Earnings Release — Record Revenue $1.082B (+8%), Non-GAAP EPS $1.21 (+26%), GlobeNewsWire,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Finance, GuruFocus — COO Key Statistics: Forward P/E 14.47x, D/E 30.5%, ROE 10.88%, PEG 1.77, Stock Price $63.48,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Cooper Companies Employee Reviews ~3.0/5, Mixed Culture Feedback,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CooperVision / Ocumetra AI Myopia Diagnostic Partnership and MiSight Global Post-Approval Clinical Program — coopervision.com press releases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CooperCompanies 2023 ESG Report — GHG Reduction &gt;7%, Community Impact, Sustainability Initiatives,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Yahoo Finance / Simply Wall St — CooperCompanies Insider Buying Activity by CEO Al White and Executives, December 2025-March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