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CRC</w:t>
      </w:r>
      <w:r>
        <w:rPr>
          <w:rFonts w:ascii="Calibri" w:hAnsi="Calibri"/>
          <w:b/>
          <w:color w:val="1A2010"/>
          <w:sz w:val="40"/>
        </w:rPr>
        <w:t xml:space="preserve">  California Resources Corporation</w:t>
      </w:r>
    </w:p>
    <w:p>
      <w:pPr>
        <w:spacing w:after="120"/>
      </w:pPr>
      <w:r>
        <w:rPr>
          <w:rFonts w:ascii="Calibri" w:hAnsi="Calibri"/>
          <w:b/>
          <w:color w:val="6E8450"/>
          <w:sz w:val="18"/>
        </w:rPr>
        <w:t>DIVIDEND SLEEVE · 2026-08-10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California Resources Corporation is the largest oil and gas producer in California, operating primarily in the San Joaquin Basin at the Elk Hills field. Following its 2024 merger with Berry Corporation, CRC produces approximately 154 MBoe/d (81% oil). The company is also developing Carbon TerraVault, California's first operational carbon capture and storage project, positioning itself as an energy and carbon management company.</w:t>
      </w:r>
    </w:p>
    <w:p>
      <w:r>
        <w:rPr>
          <w:rFonts w:ascii="Calibri" w:hAnsi="Calibri"/>
          <w:b/>
          <w:color w:val="6E8450"/>
          <w:sz w:val="18"/>
        </w:rPr>
        <w:t>2,500 Employees · https://www.crc.com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CRC completed the transformative Berry Corporation merger in late 2024, nearly doubling its production base, and launched Carbon TerraVault — California's first operational carbon capture and storage project, which began injecting CO2 at Elk Hills in 2026 [1][2]. Both represent significant business model transformations. AI Deployment (0/2): No AI-powered products or quantified AI-driven efficiency gains identified in CRC's operations or public disclosures. Market Share (1/2): CRC is the largest oil and gas producer in California with dominant position in the San Joaquin Basin, though it is a regional player with no national or global market share leadership [1]. Product Pipeline (1/2): Carbon TerraVault I is operational with capacity for 100,000 tons CO2/year, and additional CCS capacity is in planning stages, representing a long-term revenue diversification pipeline [2]. However, CCS economics remain unproven at scale. R&amp;D Intensity (0/1): Oil and gas E&amp;P companies do not invest significantly in R&amp;D as a percentage of revenue; CRC's innovation is project-based rather than research-driven.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CRC describes itself as 'an independent energy and carbon management company committed to energy transition,' but this framing is common among oil companies seeking ESG credibility and does not differentiate from peers [3]. The carbon management positioning is relatively new and not yet validated by sustained strategic commitment. Community Impact (1/2): CRC appointed Chris Gould as its first Executive VP and Chief Sustainability Officer and is investing in Carbon TerraVault as a community and environmental initiative, though the project faces opposition from environmental groups who view CCS as prolonging fossil fuel production [2][3]. Employee Retention (0/2): CRC emerged from bankruptcy in 2020 and merged with Berry in 2024, creating significant organizational disruption. CEO Francisco Leon was appointed in 2023. No employee retention or tenure data available to assess cultural stability. Insider Buying (0/2): No evidence of meaningful net insider buying found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adjusted EBITDAX of $304M and raised full-year EBITDAX guidance to $1,400-$1,500M (up 42%) demonstrate strong operational cash generation [1]. D/E of 47.22% is well below target, supported by $1,276M total liquidity. Forward P/E of 8.21x is attractive relative to the 20x target [4]. However, GAAP results are severely distorted by $792M non-cash derivative losses in Q1 2026, producing a reported net loss of $711M, ROE of -14.39%, and profit margin of -13.37% that mechanically score zero on profitability metrics [1][4]. Revenue growth is projected to decline approximately 12% in 2026 per analyst consensus due to softening commodity prices [5]. Dividend metrics are moderate: 3.08% yield with 5 consecutive years of payment (since 2021) and 18.96% average annual dividend growth, partially offset by the short dividend history post-bankruptcy.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CRC exhibits predominantly finite-game characteristics. The company emerged from bankruptcy in 2020, merged with Berry in 2024, and is now positioning for energy transition through CCS — but these moves read as strategic repositioning for survival rather than pursuit of a deeply held Just Cause. CEO turnover, post-bankruptcy organizational instability, and the inherent tension between oil production and environmental claims suggest a company playing to stay relevant rather than playing to advance 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CRC's energy transition narrative is shallow by Sinek's standards — the company's primary business remains oil extraction (81% oil, 154 MBoe/d), and the 'carbon management' positioning arrived post-bankruptcy as a rebranding strategy [1][3]. Carbon TerraVault is a pilot project (100,000 tons CO2/year from CRC's own gas processing plant), not yet evidence of a transformative purpose. Environmental groups have sued over the project's environmental analysis, challenging whether CCS genuinely serves a larger cause or prolongs fossil fuel dependence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CRC went through bankruptcy in 2020, CEO turnover (Francisco Leon appointed 2023), and a major merger in 2024, creating sustained organizational disruption. The Berry integration required combining two company cultures, management teams, and operational systems. No evidence of exceptional trust, employee empowerment, or cultural stability; the frequency of structural changes suggests an environment focused on survival and execution rather than psychological safety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CRC's management acknowledging competitors' strengths or using competitive dynamics as motivation for self-improvement. The oil and gas industry in California is highly concentrated, and CRC's competitive language focuses on being the largest producer and leading energy transition — framing that emphasizes dominance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Carbon TerraVault initiative represents genuine strategic evolution — CRC is leveraging its geological expertise and land assets to build a carbon capture business alongside its oil production [2]. The Berry merger shows willingness to transform the company's scale and operating profile. However, CCS remains a small fraction of revenue, and the core business model (California oil production) has not fundamentally changed. The pivot appears driven by regulatory and market pressure rather than a proactive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CRC raised its 2026 capital expenditure budget by $100M to $520-$560M to accelerate drilling, and is investing in Carbon TerraVault despite environmental opposition and uncertain CCS economics [1][2]. The Berry merger was a bold consolidation bet. However, these decisions are driven by financial logic (tax credits for CCS, production scale from Berry) rather than principled long-term bets that sacrifice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CRC offers a compelling value proposition at 8.21x forward PE with Q1 2026 adjusted EBITDAX of $304M and raised full-year guidance to $1,400-$1,500M (up 42%), demonstrating strong cash generation from its position as California's largest oil producer at 154 MBoe/d (81% oil) [1]. The Berry merger has been accretive, with synergy targets raised 12% to $90-$100M annually. Carbon TerraVault provides optionality on federal CCS tax credits (45Q), with California's first operational CO2 injection underway at Elk Hills [2]. The 3.08% dividend yield with $46M returned to shareholders in Q1 alone provides income while awaiting commodity recovery. Total liquidity of $1,276M provides substantial financial flexibility.</w:t>
      </w:r>
    </w:p>
    <w:p>
      <w:pPr>
        <w:spacing w:after="120"/>
      </w:pPr>
      <w:r>
        <w:rPr>
          <w:rFonts w:ascii="Calibri" w:hAnsi="Calibri"/>
          <w:b w:val="0"/>
          <w:color w:val="3A4A28"/>
          <w:sz w:val="20"/>
        </w:rPr>
        <w:t>GAAP earnings are severely distorted by $792M in non-cash commodity derivative losses in Q1 2026 alone, producing a reported net loss of $711M and making traditional profitability metrics (ROE -14.39%, profit margin -13.37%) misleading [1][4]. Analysts expect 12% revenue decline in 2026 as oil prices soften, exposing the commodity dependence that defines this business. Carbon TerraVault faces active litigation from environmental groups challenging the project's environmental analysis, and CCS economics remain dependent on federal 45Q tax credits that could face political risk [2]. CRC's post-bankruptcy history (2020), CEO turnover, and Berry integration complexity introduce execution uncertainty. California's regulatory environment — among the most restrictive for oil production in the U.S. — creates ongoing permitting and compliance risk that peers in Texas and North Dakota do not face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EBITDAX guidance of $1,400-$1,500M and year-end production exit rate targeting 175 MBoe/d as drilling acceleration delivers volume growth through 2026</w:t>
      </w:r>
    </w:p>
    <w:p>
      <w:pPr>
        <w:spacing w:before="40" w:after="40"/>
        <w:ind w:left="283"/>
      </w:pPr>
      <w:r>
        <w:rPr>
          <w:rFonts w:ascii="Calibri" w:hAnsi="Calibri"/>
          <w:b/>
          <w:color w:val="4A6B25"/>
          <w:sz w:val="20"/>
        </w:rPr>
        <w:t xml:space="preserve">2. </w:t>
      </w:r>
      <w:r>
        <w:rPr>
          <w:rFonts w:ascii="Calibri" w:hAnsi="Calibri"/>
          <w:b w:val="0"/>
          <w:color w:val="3A4A28"/>
          <w:sz w:val="20"/>
        </w:rPr>
        <w:t>Carbon TerraVault CCS expansion beyond the initial 100,000 ton/year pilot, with potential for substantial 45Q federal tax credits at $85/ton for permanent geological storage</w:t>
      </w:r>
    </w:p>
    <w:p>
      <w:pPr>
        <w:spacing w:before="40" w:after="40"/>
        <w:ind w:left="283"/>
      </w:pPr>
      <w:r>
        <w:rPr>
          <w:rFonts w:ascii="Calibri" w:hAnsi="Calibri"/>
          <w:b/>
          <w:color w:val="4A6B25"/>
          <w:sz w:val="20"/>
        </w:rPr>
        <w:t xml:space="preserve">3. </w:t>
      </w:r>
      <w:r>
        <w:rPr>
          <w:rFonts w:ascii="Calibri" w:hAnsi="Calibri"/>
          <w:b w:val="0"/>
          <w:color w:val="3A4A28"/>
          <w:sz w:val="20"/>
        </w:rPr>
        <w:t>Berry merger synergies reaching the $90-$100M annual target, validating the consolidation thesis and improving per-unit operating costs across the combined California asset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exposure: 81% oil production mix means a $10/bbl decline in oil prices would compress adjusted EBITDAX by approximately $300-400M annually, eroding the 3.08% dividend and free cash flow</w:t>
      </w:r>
    </w:p>
    <w:p>
      <w:pPr>
        <w:spacing w:before="40" w:after="40"/>
        <w:ind w:left="283"/>
      </w:pPr>
      <w:r>
        <w:rPr>
          <w:rFonts w:ascii="Calibri" w:hAnsi="Calibri"/>
          <w:b/>
          <w:color w:val="4A6B25"/>
          <w:sz w:val="20"/>
        </w:rPr>
        <w:t xml:space="preserve">2. </w:t>
      </w:r>
      <w:r>
        <w:rPr>
          <w:rFonts w:ascii="Calibri" w:hAnsi="Calibri"/>
          <w:b w:val="0"/>
          <w:color w:val="3A4A28"/>
          <w:sz w:val="20"/>
        </w:rPr>
        <w:t>Carbon TerraVault faces active environmental litigation and community opposition, with groups arguing CCS prolongs fossil fuel production; regulatory delays could strand CRC's CCS investment and 45Q tax credit strategy</w:t>
      </w:r>
    </w:p>
    <w:p>
      <w:pPr>
        <w:spacing w:before="40" w:after="40"/>
        <w:ind w:left="283"/>
      </w:pPr>
      <w:r>
        <w:rPr>
          <w:rFonts w:ascii="Calibri" w:hAnsi="Calibri"/>
          <w:b/>
          <w:color w:val="4A6B25"/>
          <w:sz w:val="20"/>
        </w:rPr>
        <w:t xml:space="preserve">3. </w:t>
      </w:r>
      <w:r>
        <w:rPr>
          <w:rFonts w:ascii="Calibri" w:hAnsi="Calibri"/>
          <w:b w:val="0"/>
          <w:color w:val="3A4A28"/>
          <w:sz w:val="20"/>
        </w:rPr>
        <w:t>California regulatory risk: increasingly restrictive state-level permitting for new wells and production, combined with setback requirements and climate legislation, could constrain CRC's ability to maintain 154 MBoe/d production over the medium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extraction, refining, and carbon capture are fundamentally physical operations requiring wellheads, pipelines, processing plants, and deep geological formations that AI cannot substitute [1]. CRC's 154 MBoe/d production across California oil fields and Carbon TerraVault's subsurface CO2 injection involve geology, engineering, and infrastructure beyond AI's reach. AI data center expansion is actually increasing electricity and natural gas demand in California, potentially benefiting CRC's production. The regulatory environment (California-specific permitting, environmental compliance) adds further structural protection. AI Opportunity (0/1): No AI-driven revenue. CRC is a traditional oil and gas producer with carbon capture operations that are engineering-driven rather than AI-enabled.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California Resources Corporation Q1 2026 Earnings Release — StockTitan, 2026</w:t>
      </w:r>
    </w:p>
    <w:p>
      <w:pPr>
        <w:spacing w:before="20" w:after="20"/>
        <w:ind w:left="170"/>
      </w:pPr>
      <w:r>
        <w:rPr>
          <w:rFonts w:ascii="Calibri" w:hAnsi="Calibri"/>
          <w:b/>
          <w:color w:val="4A6B25"/>
          <w:sz w:val="15"/>
        </w:rPr>
        <w:t xml:space="preserve">2. </w:t>
      </w:r>
      <w:r>
        <w:rPr>
          <w:rFonts w:ascii="Calibri" w:hAnsi="Calibri"/>
          <w:b w:val="0"/>
          <w:color w:val="3A4A28"/>
          <w:sz w:val="17"/>
        </w:rPr>
        <w:t>California's First Carbon Capture Project Is Up and Running — Inside Climate News, July 3, 2026</w:t>
      </w:r>
    </w:p>
    <w:p>
      <w:pPr>
        <w:spacing w:before="20" w:after="20"/>
        <w:ind w:left="170"/>
      </w:pPr>
      <w:r>
        <w:rPr>
          <w:rFonts w:ascii="Calibri" w:hAnsi="Calibri"/>
          <w:b/>
          <w:color w:val="4A6B25"/>
          <w:sz w:val="15"/>
        </w:rPr>
        <w:t xml:space="preserve">3. </w:t>
      </w:r>
      <w:r>
        <w:rPr>
          <w:rFonts w:ascii="Calibri" w:hAnsi="Calibri"/>
          <w:b w:val="0"/>
          <w:color w:val="3A4A28"/>
          <w:sz w:val="17"/>
        </w:rPr>
        <w:t>CRC Corporate Governance, Leadership, and Sustainability — CRC.com</w:t>
      </w:r>
    </w:p>
    <w:p>
      <w:pPr>
        <w:spacing w:before="20" w:after="20"/>
        <w:ind w:left="170"/>
      </w:pPr>
      <w:r>
        <w:rPr>
          <w:rFonts w:ascii="Calibri" w:hAnsi="Calibri"/>
          <w:b/>
          <w:color w:val="4A6B25"/>
          <w:sz w:val="15"/>
        </w:rPr>
        <w:t xml:space="preserve">4. </w:t>
      </w:r>
      <w:r>
        <w:rPr>
          <w:rFonts w:ascii="Calibri" w:hAnsi="Calibri"/>
          <w:b w:val="0"/>
          <w:color w:val="3A4A28"/>
          <w:sz w:val="17"/>
        </w:rPr>
        <w:t>Yahoo Finance — CRC Key Statistics and Financial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Analyst Revenue Consensus and Estimates — Yahoo Finance,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