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CRNX</w:t>
      </w:r>
      <w:r>
        <w:rPr>
          <w:rFonts w:ascii="Calibri" w:hAnsi="Calibri"/>
          <w:b/>
          <w:color w:val="1A2010"/>
          <w:sz w:val="40"/>
        </w:rPr>
        <w:t xml:space="preserve">  Crinetics Pharmaceuticals, Inc.</w:t>
      </w:r>
    </w:p>
    <w:p>
      <w:pPr>
        <w:spacing w:after="120"/>
      </w:pPr>
      <w:r>
        <w:rPr>
          <w:rFonts w:ascii="Calibri" w:hAnsi="Calibri"/>
          <w:b/>
          <w:color w:val="6E8450"/>
          <w:sz w:val="18"/>
        </w:rPr>
        <w:t>GROWTH SLEEVE · 2026-08-05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Crinetics Pharmaceuticals is a pharmaceutical company focused on novel therapeutics for rare endocrine diseases and endocrine-related tumors. Its lead product PALSONIFY (paltusotine), the first oral somatostatin receptor agonist for acromegaly, received FDA approval in September 2025 and EU approval shortly after. Q2 2026 net product revenue reached $24.0M, up from $5.4M in Q4 2025. On July 6, 2026, Vertex Pharmaceuticals announced a definitive agreement to acquire Crinetics for $85.00 per share in an all-cash transaction valued at approximately $10.0 billion, expected to close in Q3 2026.</w:t>
      </w:r>
    </w:p>
    <w:p>
      <w:r>
        <w:rPr>
          <w:rFonts w:ascii="Calibri" w:hAnsi="Calibri"/>
          <w:b/>
          <w:color w:val="6E8450"/>
          <w:sz w:val="18"/>
        </w:rPr>
        <w:t>594 Employees · https://www.crinetics.com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Crinetics achieved FDA approval of PALSONIFY (paltusotine) for acromegaly in September 2025 — the first oral nonpeptide somatostatin receptor type 2 agonist — followed by EU approval, representing a genuine product category creation replacing lifelong injectable therapies [1]. Q2 2026 net product revenue of $24.0M (up from $5.4M in Q4 2025) demonstrates rapid commercial adoption [2]. Vertex's $10B acquisition validates the platform. AI Deployment (0/2): No evidence of AI-powered products or quantified AI-driven cost savings; the company relies on traditional medicinal chemistry and clinical development. Market Share (2/2): PALSONIFY is first-in-class as an oral SST2 agonist for acromegaly, creating a new treatment category that Vertex valued at approximately $5B in peak annual sales potential across the portfolio [1][3]. Product Pipeline (2/2): Deep pipeline with specific timelines — Phase 2/3 atumelnant for congenital adrenal hyperplasia and Cushing's disease, CRN09682 (nonpeptide drug conjugate for SST2+ solid tumors), PTH receptor antagonists for hyperparathyroidism, and oral GLP-1/GIP programs for obesity. Combined peak sales potential of ~$5B per Vertex's acquisition rationale [1][3]. R&amp;D Intensity (1/1): R&amp;D spending dominates the P&amp;L with $600-650M guided operating expenses for 2026, far above industry average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Crinetics' mission centers on developing novel therapeutics for rare endocrine diseases — a clear purpose that identifies underserved patients and connects to meaningful patient impact (replacing lifelong injections with oral treatment). However, the purpose is not distinctive enough to differentiate from other rare disease biotechs [1]. Community Impact (1/2): The company's rare disease focus inherently serves underserved patient populations, and PALSONIFY represents a meaningful quality-of-life improvement for acromegaly patients. The Vertex acquisition further validates the impact. Employee Retention (1/2): Employee testimonials describe culture as 'something so special and incredibly unique' with colleagues who 'love what they do' [4]. Founder-CEO Scott Struthers' 17-year tenure provides leadership continuity. However, other reviews cite competitive dynamics, and with 594 employees the culture evidence is mixed. Insider Buying (0/2): Significant net insider selling pre-acquisition — CEO Struthers sold $822K in March 2026, COO Knight sold $3.4M in April, and CFO Schilke sold $266K [5]. No meaningful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Crinetics has a fortress-like balance sheet with $1.3B in cash against minimal debt (D/E ~5%), providing runway into 2030 on a standalone basis [1][2]. Revenue is ramping explosively: PALSONIFY generated $5.4M in Q4 2025, $10.3M in Q1 2026, and $24.0M in Q2 2026, representing a massive YoY growth rate from the near-zero 2024 base [1][2]. However, the company remains deeply unprofitable with approximately -40% ROE and negative profit margin as $600-650M in annual operating expenses far exceed revenue. Forward P/E is not calculable for a loss-making company. With the Vertex acquisition at $85/share pending Q3 2026 close, the equity is now a merger arbitrage instrument trading near the deal price rather than a fundamental investment. Liquidity ample: ~1.1M shares x $84 = $92M daily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Crinetics demonstrated genuine commitment to its rare disease mission over 17 years under founder-CEO Scott Struthers, advancing from bootstrapped startup to FDA-approved commercial product. The PALSONIFY approval validates years of patient-focused innovation. However, the agreement to sell to Vertex for $85/share represents a finite-game conclusion — the company chose to cash out rather than continue building independently. While the acquisition gives PALSONIFY access to Vertex's commercial infrastructure (potentially reaching more patients), the company's independent Just Cause ends with the merger.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Crinetics' focus on transforming care for rare endocrine disease patients — replacing lifelong injectable therapies with oral alternatives — represents a genuine cause validated by 17 years of commitment and FDA approval [1]. PALSONIFY's rapid commercial adoption ($24M Q2 revenue) proves the cause is creating real patient impact [2]. However, the agreement to sell to Vertex for $85/share is a finite-game outcome that ends the company's independent pursuit of its cause, even if it potentially serves more patients through Vertex's commercial infrastructure.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Employee testimonials describe the culture as 'something so special and incredibly unique' with a patient-centric and team-oriented environment [4]. Founder-CEO's 17-year tenure provided leadership stability. However, other reviews cite competitive dynamics between departments. The pending Vertex acquisition creates natural uncertainty for the 594-person team about job security and cultural integration.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Crinetics positioned itself competitively against injectable therapy incumbents (Ipsen's Somatuline, Novartis' Sandostatin) using language centered on 'replacing' and 'converting' patients from competitor products rather than learning from rivals' strengths. The competitive framing focused on taking share through product superiority rather than mutual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Crinetics expanded from its initial SST2 agonist focus into multiple endocrine pathways — ACTH receptor antagonists, PTH receptor antagonists, and oral GLP-1/GIP programs for obesity, a dramatically different market from rare endocrine diseases [1]. The expansion into obesity represents meaningful strategic broadening. However, the decision to sell to Vertex rather than pursue independent commercialization of this expanded pipeline suggests limits to the company's willingness to make transformative independent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Scott Struthers invested 17 years building the company from founding through FDA approval, maintaining focus on the challenging rare endocrine space when other biotechs pivoted to fashionable therapeutic areas. Pursuing oral nonpeptide chemistry against industry consensus required scientific conviction [1]. However, the heavy insider selling in early 2026 (CEO $822K, COO $3.4M, CFO $266K) prior to the Vertex acquisition announcement raises questions about leadership alignment, and the decision to sell undermines the narrative of long-term independent commitment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Crinetics is subject to a definitive acquisition agreement with Vertex Pharmaceuticals at $85.00 per share in cash (~$10B), unanimously approved by both boards and expected to close in Q3 2026 [3]. The deal validates PALSONIFY's first-in-class oral acromegaly franchise and the deep endocrine pipeline (atumelnant, PTH antagonists, oral GLP-1/GIP) at approximately $5B in combined peak annual sales potential. PALSONIFY's commercial ramp has been exceptional — $5.4M in Q4 2025, $10.3M in Q1 2026, and $24.0M in Q2 2026 — confirming strong physician and patient adoption [1][2]. With $1.3B in cash and $4.5B in committed bridge financing from BofA backing the deal, funding risk is minimal.</w:t>
      </w:r>
    </w:p>
    <w:p>
      <w:pPr>
        <w:spacing w:after="120"/>
      </w:pPr>
      <w:r>
        <w:rPr>
          <w:rFonts w:ascii="Calibri" w:hAnsi="Calibri"/>
          <w:b w:val="0"/>
          <w:color w:val="3A4A28"/>
          <w:sz w:val="20"/>
        </w:rPr>
        <w:t>At the current price near $84, the stock is a merger arbitrage play with approximately 1% upside to the $85 deal price, representing a risk-adjusted spread for the few weeks until expected Q3 2026 close. The primary risk is deal break — antitrust review or shareholder vote failure could revert the stock toward pre-announcement levels (~$39). The M&amp;A class action investigation announced by shareholder attorneys is standard in large take-private transactions and unlikely to block the deal [5]. If the deal closes as expected, IOWN investors should tender shares at $85 and redeploy capital. If the deal were to fail, the standalone thesis remains strong given the accelerating PALSONIFY revenue ramp and $1.3B cash position, but the stock would likely decline 50%+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Vertex acquisition closing on schedule in Q3 2026 at $85/share, delivering a 119% premium to the pre-announcement stock price and generating immediate liquidity for IOWN redeployment [3]</w:t>
      </w:r>
    </w:p>
    <w:p>
      <w:pPr>
        <w:spacing w:before="40" w:after="40"/>
        <w:ind w:left="283"/>
      </w:pPr>
      <w:r>
        <w:rPr>
          <w:rFonts w:ascii="Calibri" w:hAnsi="Calibri"/>
          <w:b/>
          <w:color w:val="4A6B25"/>
          <w:sz w:val="20"/>
        </w:rPr>
        <w:t xml:space="preserve">2. </w:t>
      </w:r>
      <w:r>
        <w:rPr>
          <w:rFonts w:ascii="Calibri" w:hAnsi="Calibri"/>
          <w:b w:val="0"/>
          <w:color w:val="3A4A28"/>
          <w:sz w:val="20"/>
        </w:rPr>
        <w:t>PALSONIFY commercial ramp continuing to accelerate — $24M Q2 2026 revenue trajectory suggests potential $100M+ annual run rate, validating the acquisition economics [2]</w:t>
      </w:r>
    </w:p>
    <w:p>
      <w:pPr>
        <w:spacing w:before="40" w:after="40"/>
        <w:ind w:left="283"/>
      </w:pPr>
      <w:r>
        <w:rPr>
          <w:rFonts w:ascii="Calibri" w:hAnsi="Calibri"/>
          <w:b/>
          <w:color w:val="4A6B25"/>
          <w:sz w:val="20"/>
        </w:rPr>
        <w:t xml:space="preserve">3. </w:t>
      </w:r>
      <w:r>
        <w:rPr>
          <w:rFonts w:ascii="Calibri" w:hAnsi="Calibri"/>
          <w:b w:val="0"/>
          <w:color w:val="3A4A28"/>
          <w:sz w:val="20"/>
        </w:rPr>
        <w:t>Regulatory and shareholder approvals proceeding without complication, with $4.5B committed bridge financing ensuring deal 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break risk — antitrust regulatory review or shareholder vote failure could revert the stock to pre-announcement levels (~$39), representing approximately 50% downside from current trading near $84 [3]</w:t>
      </w:r>
    </w:p>
    <w:p>
      <w:pPr>
        <w:spacing w:before="40" w:after="40"/>
        <w:ind w:left="283"/>
      </w:pPr>
      <w:r>
        <w:rPr>
          <w:rFonts w:ascii="Calibri" w:hAnsi="Calibri"/>
          <w:b/>
          <w:color w:val="4A6B25"/>
          <w:sz w:val="20"/>
        </w:rPr>
        <w:t xml:space="preserve">2. </w:t>
      </w:r>
      <w:r>
        <w:rPr>
          <w:rFonts w:ascii="Calibri" w:hAnsi="Calibri"/>
          <w:b w:val="0"/>
          <w:color w:val="3A4A28"/>
          <w:sz w:val="20"/>
        </w:rPr>
        <w:t>M&amp;A class action investigation and potential shareholder litigation, though these are standard in large-cap biotech acquisitions and rarely block deal completion [5]</w:t>
      </w:r>
    </w:p>
    <w:p>
      <w:pPr>
        <w:spacing w:before="40" w:after="40"/>
        <w:ind w:left="283"/>
      </w:pPr>
      <w:r>
        <w:rPr>
          <w:rFonts w:ascii="Calibri" w:hAnsi="Calibri"/>
          <w:b/>
          <w:color w:val="4A6B25"/>
          <w:sz w:val="20"/>
        </w:rPr>
        <w:t xml:space="preserve">3. </w:t>
      </w:r>
      <w:r>
        <w:rPr>
          <w:rFonts w:ascii="Calibri" w:hAnsi="Calibri"/>
          <w:b w:val="0"/>
          <w:color w:val="3A4A28"/>
          <w:sz w:val="20"/>
        </w:rPr>
        <w:t>Opportunity cost of holding a merger arbitrage position with ~1% upside when capital could be redeployed into higher-return IOWN opportunities before the Q3 2026 expected close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Pharmaceutical development for rare endocrine diseases is structurally immune to AI disruption. The core value chain — complex clinical trials, FDA regulatory processes, GMP drug manufacturing, physician-patient relationships, and payer negotiations — involves deeply regulated, physical-world operations that AI cannot substitute [1]. Crinetics' proprietary nonpeptide chemistry platform represents deep scientific IP protected by patents and trade secrets. Vertex's willingness to pay $10B validates the enduring value of this type of innovation against any AI disruption scenario [3]. AI may accelerate competitor drug discovery at the margins but cannot replace the fundamental biology, manufacturing, and regulatory pathway. AI Opportunity (0/1): Crinetics does not generate revenue from AI products or services. While AI tools may be used internally for research, no quantifiable AI revenue contribution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Crinetics Pharmaceuticals Q1 2026 Financial Results — $10.3M PALSONIFY Revenue, $1.3B Cash, Pipeline Updates, May 2026</w:t>
      </w:r>
    </w:p>
    <w:p>
      <w:pPr>
        <w:spacing w:before="20" w:after="20"/>
        <w:ind w:left="170"/>
      </w:pPr>
      <w:r>
        <w:rPr>
          <w:rFonts w:ascii="Calibri" w:hAnsi="Calibri"/>
          <w:b/>
          <w:color w:val="4A6B25"/>
          <w:sz w:val="15"/>
        </w:rPr>
        <w:t xml:space="preserve">2. </w:t>
      </w:r>
      <w:r>
        <w:rPr>
          <w:rFonts w:ascii="Calibri" w:hAnsi="Calibri"/>
          <w:b w:val="0"/>
          <w:color w:val="3A4A28"/>
          <w:sz w:val="17"/>
        </w:rPr>
        <w:t>Crinetics Pharmaceuticals Q2 2026 Financial Results — $24.0M PALSONIFY Net Product Revenue, August 2026</w:t>
      </w:r>
    </w:p>
    <w:p>
      <w:pPr>
        <w:spacing w:before="20" w:after="20"/>
        <w:ind w:left="170"/>
      </w:pPr>
      <w:r>
        <w:rPr>
          <w:rFonts w:ascii="Calibri" w:hAnsi="Calibri"/>
          <w:b/>
          <w:color w:val="4A6B25"/>
          <w:sz w:val="15"/>
        </w:rPr>
        <w:t xml:space="preserve">3. </w:t>
      </w:r>
      <w:r>
        <w:rPr>
          <w:rFonts w:ascii="Calibri" w:hAnsi="Calibri"/>
          <w:b w:val="0"/>
          <w:color w:val="3A4A28"/>
          <w:sz w:val="17"/>
        </w:rPr>
        <w:t>Vertex Pharmaceuticals Definitive Agreement to Acquire Crinetics for $85/Share (~$10B), July 6, 2026</w:t>
      </w:r>
    </w:p>
    <w:p>
      <w:pPr>
        <w:spacing w:before="20" w:after="20"/>
        <w:ind w:left="170"/>
      </w:pPr>
      <w:r>
        <w:rPr>
          <w:rFonts w:ascii="Calibri" w:hAnsi="Calibri"/>
          <w:b/>
          <w:color w:val="4A6B25"/>
          <w:sz w:val="15"/>
        </w:rPr>
        <w:t xml:space="preserve">4. </w:t>
      </w:r>
      <w:r>
        <w:rPr>
          <w:rFonts w:ascii="Calibri" w:hAnsi="Calibri"/>
          <w:b w:val="0"/>
          <w:color w:val="3A4A28"/>
          <w:sz w:val="17"/>
        </w:rPr>
        <w:t>Crinetics Company Culture and Employee Testimonials — Patient-Centric Mission, Team-Oriented Environment,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 Insider Transaction Filings — CEO Struthers $822K Sale, COO Knight $3.4M Sale, CFO Schilke $266K Sale, March-April 2026; M&amp;A Class Action Investigation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