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CRSP</w:t>
      </w:r>
      <w:r>
        <w:rPr>
          <w:rFonts w:ascii="Calibri" w:hAnsi="Calibri"/>
          <w:b/>
          <w:color w:val="1A2010"/>
          <w:sz w:val="40"/>
        </w:rPr>
        <w:t xml:space="preserve">  CRISPR Therapeutics AG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54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Switzerland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CRISPR Therapeutics AG is a gene-editing biotechnology company developing CRISPR/Cas9-based medicines for serious diseases. Its lead product, CASGEVY (developed with partner Vertex Pharmaceuticals), is the world's first approved CRISPR-based therapy, treating sickle cell disease and transfusion-dependent beta thalassemia; the FDA expanded its label to children as young as 2 in 2026, opening access to roughly 5,500 additional patients [1]. CASGEVY revenue reached $76M in Q2 2026 (+151% YoY, +78% QoQ) with over 500 patients initiated and reimbursement secured in Germany, plus regulatory submissions advancing in Saudi Arabia and the UK [1]. The pipeline spans oncology (allogeneic CAR-T), cardiovascular disease (in vivo liver-editing candidates CTX310, CTX340, CTX460), autoimmune conditions, and regenerative medicine (CTX213 for Type 1 diabetes). Founded in 2013, headquartered in Zug, Switzerland, with primary R&amp;D operations in Boston, Massachusetts, under CEO and Chairman Dr. Samarth Kulkarni.</w:t>
      </w:r>
    </w:p>
    <w:p>
      <w:r>
        <w:rPr>
          <w:rFonts w:ascii="Calibri" w:hAnsi="Calibri"/>
          <w:b/>
          <w:color w:val="6E8450"/>
          <w:sz w:val="18"/>
        </w:rPr>
        <w:t>450 Employees · https://www.crisprtx.com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CRISPR Therapeutics delivered the world's first approved CRISPR-based medicine (CASGEVY) and continues to expand it in 2026 — FDA approval in children as young as 2 (reviewed in just 53 days), German reimbursement, and Saudi/UK regulatory submissions — a transformative, category-defining achievement rather than an incremental refresh [1]. AI Deployment (0/2): No AI-related drug discovery or platform initiatives were disclosed in the Q2 2026 business update; CRISPR's innovation narrative is centered on gene-editing modality expansion, not AI [1]. Market Share (2/2): CASGEVY is the first-mover and category leader in commercial gene-editing therapy, with quantified momentum — $76M Q2 2026 revenue (+151% YoY, +78% QoQ), 500+ patients initiated, and approval now in 39 countries [1]. Product Pipeline (2/2): Specific, dated next-generation programs include CTX340 (angiotensinogen, refractory hypertension) and CTX460 (SyNTase platform, alpha-1 antitrypsin deficiency), both initiating Phase 1 in 2026, CTX310 (ANGPTL3) Phase 1b with data expected by year-end 2026, and CTX213 (Type 1 diabetes regenerative medicine) advancing toward the clinic [1]. R&amp;D Intensity (1/1): Q2 2026 R&amp;D spend of $67.2M against GAAP revenue of roughly $10.2M reflects R&amp;D investment intensity well above typical industry norms, consistent with a company prioritizing a broad multi-modality pipeline (in vivo editing, CAR-T, regenerative medicine) over near-term profitability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CRISPR Therapeutics' mission to translate CRISPR/Cas9 gene-editing technology into transformative, potentially curative medicines for serious diseases is specific and thoughtful, and has been directly validated by execution — delivering the world's first approved CRISPR cure and now extending it to a pediatric population [1]. It falls short of the 'decades of consistent execution' bar for a 4/4 given the company was only founded in 2013 and has not been tested across multiple market cycles or leadership transitions. Community Impact (0/2): No specific charitable foundation, patient-assistance program, or community investment initiative with quantified dollar amounts was identified in available coverage. Employee Retention (0/2): No tenure or turnover data is publicly available for the 450-person workforce. Insider Buying (1/2): Coverage of the 2026 capital raise notes that 'corporate insiders, including the CMO, increased share purchases,' but no specific dollar amounts were disclosed, placing this at a neutral/minimal level rather than clearly meaningful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(growth-stock weighting; no dividend). Liquidity passes comfortably ($52.26 price x ~1.45M average daily volume ≈ $75.9M &gt;&gt; $1M floor) [4]. D/E of 45% scores at the 1.0 cap (well inside the 70% target) [4]. However, ROE of -26.09% floors at 0 (2x weight) and profit margin is deeply negative (TTM net loss of $451.14M against $13.39M of GAAP revenue) and floors at 0, reflecting that CASGEVY's $76M+ quarterly product revenue flows primarily through the Vertex collaboration rather than CRISPR's own income statement, while R&amp;D spend remains heavy [1][4]. Revenue growth YoY, 5yr CAGR, forward P/E, and forward PEG were excluded as not meaningful or unavailable given collaboration-revenue accounting and the absence of positive earnings.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CRISPR Therapeutics displays strong infinite-game characteristics for a company of its age — a validated, service-oriented Just Cause (curing serious genetic diseases) delivered through the world's first approved CRISPR therapy, a CEO who explicitly builds psychological safety around scientific failure, and sustained heavy R&amp;D investment across a diversified pipeline despite continued net losses. It falls short of INFINITE status because the company is only 13 years old and has not yet been tested through a full market cycle, crisis, or leadership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CRISPR Therapeutics' mission to cure serious genetic diseases through gene editing is genuine and partially lived — strategic decisions like expanding CASGEVY to pediatric patients and diversifying into cardiovascular, autoimmune, and regenerative medicine trace directly back to the cause — but as a company founded in 2013, it has not yet been tested across a full market cycle or leadership crisis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CEO Samarth Kulkarni has explicitly articulated a Circle-of-Safety philosophy for a high-failure-rate R&amp;D environment: 'In a world where 80% of what you do fails, you have to create an environment where you're celebrating the failure' — direct evidence of leadership intentionally building psychological safety around risk-taking and failure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CRISPR Therapeutics management publicly framing competitors (e.g., Intellia, Beam Therapeutics) as worthy rivals or acknowledging their strengths as motivation for self-improvement in available 2026 coverage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expanded meaningfully beyond its original ex vivo hemoglobinopathy focus into in vivo liver editing, allogeneic CAR-T oncology, and regenerative medicine for Type 1 diabetes — real modality and therapeutic-area diversification — though CASGEVY and the core gene-editing platform remain central rather than being abandoned, short of a fully transformative pivot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Leadership has sustained heavy R&amp;D investment ($67.2M in Q2 2026 alone) and raised $585.4M and $600M in additional capital to fund a broad, diversified pipeline rather than narrowing focus to protect near-term losses, and Kulkarni's explicit philosophy of 'celebrating failure' in an 80%-failure-rate R&amp;D environment reflects a leader willing to absorb the cost of risk-taking in service of long-term breakthrough medicine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CRISPR Therapeutics continues to validate its position as the world's first commercial CRISPR gene-editing company, with CASGEVY revenue reaching $76M in Q2 2026 (+151% YoY, +78% QoQ), over 500 patients initiated, and a landmark FDA approval extending the therapy to children as young as 2 — reviewed in just 53 days and opening access to roughly 5,500 additional patients — alongside German reimbursement and advancing Saudi/UK submissions [1]. The company holds $2.364B in cash after raising $585.4M and $600M via convertible notes in 2026, funding a genuinely diversified next-generation pipeline: in vivo liver-editing programs CTX340 (hypertension) and CTX460 (alpha-1 antitrypsin deficiency) both entering Phase 1, CTX310 (ANGPTL3) Phase 1b data expected by year-end, and CTX213 for Type 1 diabetes advancing toward the clinic [1]. CEO Samarth Kulkarni's explicit philosophy of building psychological safety around the 80% failure rate inherent to breakthrough R&amp;D, combined with a validated, service-oriented Just Cause (curing serious genetic disease), positions the company well on both innovation and culture dimensions relative to biotech peers.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financial mechanics: CRISPR Therapeutics posted a GAAP net loss of $451.14M on just $13.39M of TTM revenue (Casgevy's much larger product revenue flows primarily through the Vertex collaboration rather than CRISPR's own income statement), producing a -26.09% ROE and forcing continued reliance on capital markets ($1.2B+ raised via convertible notes in 2026 alone) to fund the broad pipeline [1][4]. D/E of 45% and ample liquidity are genuine strengths, but with no forward P/E or PEG computable given negative earnings, the investment case rests entirely on binary clinical and commercial execution across multiple unproven in vivo programs rather than current financial durability. No AI-related drug discovery initiatives were disclosed, meaning CRISPR does not yet benefit from the AI-driven R&amp;D productivity gains some biotech peers are beginning to tout, and no evidence of community investment or employee retention data limits full confidence in the Inspiration dimension despite a strong mission.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CASGEVY revenue ramp following pediatric label expansion (ages 2+) opening access to ~5,500 additional patients, plus pending Saudi Arabia and UK regulatory decisions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CTX310 (ANGPTL3) Phase 1b clinical data expected by year-end 2026, a key read-through for the broader in vivo cardiovascular editing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Initiation and early data from Phase 1 trials of CTX340 (hypertension) and CTX460 (alpha-1 antitrypsin deficiency), testing the SyNTase platform's next-generation in vivo editing approach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Heavy and continuing cash burn (-$451.14M TTM net loss) requires ongoing capital markets access; further convertible note or equity raises could dilute shareholders if clinical timelines slip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revenue recognition under the Vertex collaboration structure ($13.39M TTM) is disconnected from CASGEVY's underlying commercial momentum ($76M quarterly product revenue), making standard financial ratios (P/E, PEG, margin) unusually difficult to interpret and largely unfavorable on a GAAP basis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broad, diversified pipeline (in vivo editing, CAR-T, regenerative medicine) concentrates significant binary clinical trial risk across multiple unproven modalities simultaneously, any of which could fail given the industry's inherent high failure rate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CRISPR Therapeutics' core business — FDA-regulated gene-editing drug development, clinical manufacturing, and cell/gene therapy delivery — cannot be substituted by AI; the work requires physical biological engineering, regulatory approval, and clinical execution that software cannot replace [1]. No analyst commentary was found suggesting AI threatens the company's business model; if anything, AI-assisted target discovery is a tool the broader gene-editing industry is adopting to accelerate, not disrupt, pipeline development. AI Opportunity (0/1): The Q2 2026 business update contained no AI-related drug discovery initiatives or quantified AI-linked revenue, so no tiebreaker point is awarded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CRISPR Therapeutics Q1 and Q2 2026 Business Updates and Financial Results — BioSpace, GlobeNewswire, StockTitan, SEC 8-K filings,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CEO Samarth Kulkarni Leadership Philosophy and Biography — crisprtx.com, STAT News interview, Aspen Ideas,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CRISPR Therapeutics Capital Raise and Insider Purchase Activity — Simply Wall St News,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CRSP Key Statistics and Financial Health,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