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CSGP</w:t>
      </w:r>
      <w:r>
        <w:rPr>
          <w:rFonts w:ascii="Calibri" w:hAnsi="Calibri"/>
          <w:b/>
          <w:color w:val="1A2010"/>
          <w:sz w:val="40"/>
        </w:rPr>
        <w:t xml:space="preserve">  CoStar Group, Inc.</w:t>
      </w:r>
    </w:p>
    <w:p>
      <w:pPr>
        <w:spacing w:after="120"/>
      </w:pPr>
      <w:r>
        <w:rPr>
          <w:rFonts w:ascii="Calibri" w:hAnsi="Calibri"/>
          <w:b/>
          <w:color w:val="6E8450"/>
          <w:sz w:val="18"/>
        </w:rPr>
        <w:t>GROWTH SLEEVE · 2026-08-22 · Inspire: 50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CoStar Group, Inc. provides information, analytics, and online marketplaces for the commercial and residential real estate industries. Products include CoStar (commercial data platform), Apartments.com (multifamily listings), Homes.com (residential marketplace), LoopNet (commercial listings), STR (hospitality benchmarking), Ten-X (online auction), and Matterport (3D digital twin technology). Founded in 1986 by Andy Florance, headquartered in Arlington, Virginia. Q2 2026 revenue reached $925M (+18% YoY), marking the 61st consecutive quarter of double-digit revenue growth, with a profitability inflection showing net income up 817% and adjusted EBITDA more than doubling year-over-year. Member of the S&amp;P 500 and NASDAQ 100.</w:t>
      </w:r>
    </w:p>
    <w:p>
      <w:r>
        <w:rPr>
          <w:rFonts w:ascii="Calibri" w:hAnsi="Calibri"/>
          <w:b/>
          <w:color w:val="6E8450"/>
          <w:sz w:val="18"/>
        </w:rPr>
        <w:t>8,400 Employees · https://www.costargroup.com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CoStar has executed multiple transformative pivots over 40 years — from commercial real estate data provider to online marketplace platform, adding Apartments.com ($585M acquisition in 2014), launching Homes.com to challenge Zillow in residential, and acquiring Matterport for 3D digital twin technology [1][2]. Each move expanded the company's addressable market by orders of magnitude. The company completed a one-million-square-foot Richmond campus in May 2026 housing 3,500 employees to support Homes.com growth [3]. AI Deployment (2/2): Homes.com launched a transformative AI-powered search application in February 2026 that replaced traditional filter-based property search with dynamic AI-driven results, driving a 119% increase in organic traffic in Q1 2026 [1][2]. This is a shipping AI product with measurable engagement impact, and Q2 2026 continued the momentum with annualized net new bookings up 20% YoY to $67M. Market Share (1/2): CoStar dominates commercial real estate information with an effective monopoly in CRE data (subject of antitrust litigation), and Apartments.com leads multifamily listings [3]. However, Homes.com remains a distant challenger to Zillow in residential. Product Pipeline (1/2): Matterport 3D digital twin integration across CoStar platforms, continued Homes.com AI enhancements, and STR hospitality analytics expansion provide visible pipeline, though specific revenue targets beyond full-year guidance are limited. R&amp;D Intensity (1/1): CoStar invests heavily in technology with over 2,000 engineers, and R&amp;D spending significantly exceeds real estate services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Andy Florance founded CoStar in 1986 at Princeton with the specific vision of digitizing commercial real estate information to create market transparency — a purpose validated by nearly 40 years of consistent execution [2]. The mission to 'digitize the world's real estate, empowering all people to discover properties, insights and connections that improve their businesses and lives' has guided every major strategic decision from CoStar's founding through Apartments.com and Homes.com [3]. This is genuinely distinctive and has shaped competitive advantage. Community Impact (0/2): No evidence of distinctive charitable programs or community investment beyond standard corporate practices and ESG reporting. Sustainalytics assigns a Low Controversy rating but no large-scale philanthropic initiatives identified [3]. Employee Retention (2/2): Andy Florance has led CoStar for nearly 40 years as founder-CEO, providing exceptional leadership continuity [2]. Named top 10 on the Swanepoel Power 200 in 2026. Senior leadership shows long tenure aligned with Florance's vision. The company expanded headcount to 8,400, hiring 1,000+ positions in Richmond in 2025 to support growth. Insider Buying (2/2): CEO Andy Florance purchased approximately 71,000 shares (~$2.5M) on the open market in May 2026, with net insider buying of $5.0M over the past 12 months [4]. This represents meaningful personal conviction from the founder-CEO during a period of stock price weakness.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CoStar carries minimal debt with D/E of 14.54% ($1.14B debt against $1.22B cash), scoring a perfect 1.0 well below the 70% target [1]. Revenue grew 18% YoY to $925M in Q2 2026 with full-year guidance revised to $3.715-3.755B (~15% growth), exceeding the 10% target [1]. Five-year revenue CAGR of ~14% also exceeds the target and receives 2x weight as a growth stock. Forward PEG of 0.53 (2x weight) reflects the dramatic EPS growth trajectory with FY2026 EPS expected to rise 181% to $1.18 [1]. The primary drags are ROE of only 0.89% (scoring 0.06 with 2x weight) as the company has only recently crossed the profitability inflection point, and profit margin of 5.07% (scoring 0.25) reflecting heavy Homes.com investment still compressing margins. Forward P/E of 24.80 scores 0.88, above the 20 target. The stock clears the liquidity floor with ~$194M daily value traded ($32.30 x ~6M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CoStar Group under founder-CEO Andy Florance is a strong infinite game player. Florance has led the company for nearly 40 years with a consistent vision of digitizing and democratizing real estate information, expanding from commercial data to multifamily listings to residential to 3D digital twins. The willingness to invest billions in Homes.com — compressing near-term profitability for long-term market position, with Q2 2026 finally marking the profitability inflection (net income +817%, EBITDA doubled) — and the Matterport acquisition demonstrate sustained courage to sacrifice today's earnings for tomorrow's platform dominance [1].</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Florance's founding vision of digitizing real estate information to create market transparency has been genuinely distinctive and consistently executed since 1986 [2]. Strategic decisions — entering multifamily with Apartments.com, challenging Zillow with Homes.com, acquiring Matterport for 3D technology — clearly trace back to this expanding vision of real estate information democratization. The cause has guided the company through multiple market cycles and nearly four decades. However, it hasn't been fully tested through an existential crisis or leadership transition — Florance has been the sole leader throughout.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Florance's nearly 40-year tenure as founder-CEO provides exceptional leadership continuity, and CoStar's engineering-driven culture has attracted over 2,000 technology professionals [2]. The company expanded to 8,400 employees in 2026 and built a major campus in Richmond to consolidate teams. However, Glassdoor reviews (2.7/5 across 3,044 reviews) describe a top-down management culture with limited room for dissent, and the antitrust litigation alleges aggressive competitive tactics that could indicate an internally competitive culture [3]. The rank-and-file experience appears to be at tension with the leadership continuity at the top.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CoStar's decision to launch Homes.com in direct competition with Zillow — acknowledging the residential market leader's strengths while building a differentiated product through AI-powered search — reflects an infinite mindset toward competition [1][2]. Rather than accepting Zillow's dominance, Florance invested billions to build a better product. Management commentary frames the competitive challenge as an opportunity to innovate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CoStar has fundamentally reinvented itself multiple times — from commercial real estate data compiler to online marketplace platform (Apartments.com acquisition 2014), to residential real estate challenger (Homes.com launch), to spatial computing company (Matterport acquisition) [1][2]. Each pivot expanded the addressable market by orders of magnitude and was driven by the Just Cause of democratizing real estate information. The decision to invest billions in Homes.com while compressing near-term profitability mirrors Sinek's existential flexibility archetype — the Q2 2026 profitability inflection now validates this courageous bet.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Florance's decision to invest aggressively in Homes.com — compressing GAAP profitability to near-zero throughout 2025 and into early 2026 — to build long-term residential market position against entrenched Zillow is a textbook example of sacrificing near-term results for long-term capability [1]. Q2 2026 marks the vindication of this courage, with net income surging 817% and adjusted EBITDA more than doubling to $184M. The $1.6B Matterport acquisition bet on 3D digital twin technology, and Florance personally invested $5M in shares over the past 12 months despite stock weakness [4]. Pattern of consistently choosing bold, long-term investment over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CoStar Group is a founder-led platform company that has reached a profitability inflection point — Q2 2026 revenue of $925M (+18% YoY) marked the 61st consecutive quarter of double-digit growth, while net income surged 817% and adjusted EBITDA more than doubled to $184M [1]. The AI-powered Homes.com search application drove 119% organic traffic growth, validating the billions invested in residential real estate. With minimal debt (D/E 14.54%, $1.22B cash), $5.0M in founder-CEO insider buying, and a forward PEG of 0.53 reflecting 181% expected EPS growth in FY2026, CoStar offers compelling growth at a reasonable valuation [4]. Full-year guidance of $3.72-3.76B revenue (~15% growth) with $780-820M adjusted EBITDA establishes a clear path toward normalized margins.</w:t>
      </w:r>
    </w:p>
    <w:p>
      <w:pPr>
        <w:spacing w:after="120"/>
      </w:pPr>
      <w:r>
        <w:rPr>
          <w:rFonts w:ascii="Calibri" w:hAnsi="Calibri"/>
          <w:b w:val="0"/>
          <w:color w:val="3A4A28"/>
          <w:sz w:val="20"/>
        </w:rPr>
        <w:t>The primary risks are competitive, legal, and cultural. Multiple antitrust class-action lawsuits filed in 2026 allege CoStar monopolized commercial real estate data through exclusionary contracts — if successful, these could force open the proprietary data moat that underpins the core business [3]. Homes.com still trails Zillow significantly in residential traffic and market share, and the path to residential profitability requires sustained growth against an entrenched competitor. Forward P/E of 24.80x (up from 20.83x in June) reflects rising expectations — any deceleration in Homes.com traction or revenue growth (guidance already revised down from $3.78-3.82B) could compress the multiple. ROE of 0.89% and profit margin of 5.07%, while improving rapidly, remain well below levels that demonstrate attractive capital returns. Glassdoor reviews (2.7/5) flag culture concerns that could affect talent retention in a competitive labor market. The Inspire Impact Score of 50 (ALIGNED) is favorable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validated — Q2 2026 net income up 817% YoY with adjusted EBITDA more than doubling to $184M, signaling the transition from investment phase to normalized earnings as Homes.com spending moderates [1]</w:t>
      </w:r>
    </w:p>
    <w:p>
      <w:pPr>
        <w:spacing w:before="40" w:after="40"/>
        <w:ind w:left="283"/>
      </w:pPr>
      <w:r>
        <w:rPr>
          <w:rFonts w:ascii="Calibri" w:hAnsi="Calibri"/>
          <w:b/>
          <w:color w:val="4A6B25"/>
          <w:sz w:val="20"/>
        </w:rPr>
        <w:t xml:space="preserve">2. </w:t>
      </w:r>
      <w:r>
        <w:rPr>
          <w:rFonts w:ascii="Calibri" w:hAnsi="Calibri"/>
          <w:b w:val="0"/>
          <w:color w:val="3A4A28"/>
          <w:sz w:val="20"/>
        </w:rPr>
        <w:t>Homes.com AI-powered search application driving 119% organic traffic growth with annualized net new bookings up 20% YoY to $67M, creating a path toward meaningful residential revenue contribution [1]</w:t>
      </w:r>
    </w:p>
    <w:p>
      <w:pPr>
        <w:spacing w:before="40" w:after="40"/>
        <w:ind w:left="283"/>
      </w:pPr>
      <w:r>
        <w:rPr>
          <w:rFonts w:ascii="Calibri" w:hAnsi="Calibri"/>
          <w:b/>
          <w:color w:val="4A6B25"/>
          <w:sz w:val="20"/>
        </w:rPr>
        <w:t xml:space="preserve">3. </w:t>
      </w:r>
      <w:r>
        <w:rPr>
          <w:rFonts w:ascii="Calibri" w:hAnsi="Calibri"/>
          <w:b w:val="0"/>
          <w:color w:val="3A4A28"/>
          <w:sz w:val="20"/>
        </w:rPr>
        <w:t>Matterport 3D digital twin technology integration across CoStar, Apartments.com, and Homes.com platforms creating differentiated immersive experience that competitors cannot easily replicate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Multiple antitrust class-action lawsuits filed in April-June 2026 allege CoStar monopolized commercial real estate data through exclusionary contracts — adverse rulings could force open the proprietary data moat that is the core competitive advantage [3]</w:t>
      </w:r>
    </w:p>
    <w:p>
      <w:pPr>
        <w:spacing w:before="40" w:after="40"/>
        <w:ind w:left="283"/>
      </w:pPr>
      <w:r>
        <w:rPr>
          <w:rFonts w:ascii="Calibri" w:hAnsi="Calibri"/>
          <w:b/>
          <w:color w:val="4A6B25"/>
          <w:sz w:val="20"/>
        </w:rPr>
        <w:t xml:space="preserve">2. </w:t>
      </w:r>
      <w:r>
        <w:rPr>
          <w:rFonts w:ascii="Calibri" w:hAnsi="Calibri"/>
          <w:b w:val="0"/>
          <w:color w:val="3A4A28"/>
          <w:sz w:val="20"/>
        </w:rPr>
        <w:t>Revenue guidance revised down from $3.78-3.82B to $3.715-3.755B in Q2, and revenue growth decelerated from 23% (Q1) to 18% (Q2) — sustained deceleration could challenge the forward P/E of 24.80x and PEG of 0.53 [1]</w:t>
      </w:r>
    </w:p>
    <w:p>
      <w:pPr>
        <w:spacing w:before="40" w:after="40"/>
        <w:ind w:left="283"/>
      </w:pPr>
      <w:r>
        <w:rPr>
          <w:rFonts w:ascii="Calibri" w:hAnsi="Calibri"/>
          <w:b/>
          <w:color w:val="4A6B25"/>
          <w:sz w:val="20"/>
        </w:rPr>
        <w:t xml:space="preserve">3. </w:t>
      </w:r>
      <w:r>
        <w:rPr>
          <w:rFonts w:ascii="Calibri" w:hAnsi="Calibri"/>
          <w:b w:val="0"/>
          <w:color w:val="3A4A28"/>
          <w:sz w:val="20"/>
        </w:rPr>
        <w:t>ROE of 0.89% and profit margin of 5.07% remain far below targets despite the profitability inflection, and Glassdoor culture rating of 2.7/5 creates talent retention risk in a competitive technology labor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CoStar's core commercial real estate data business is protected by decades of proprietary data collection, strong switching costs, and a network effect that makes its CRE information platform difficult to replicate [2]. However, AI creates some substitution risk: large language models could aggregate public real estate data and reduce the premium on CoStar's proprietary datasets. Residential real estate search (Homes.com, Zillow) faces disruption as conversational AI could alter traditional marketplace-based search models. CoStar's antitrust litigation highlights that its competitive moat relies partly on data exclusivity that regulators may force open [3]. AI Opportunity (1/1): CoStar is actively generating value from AI through the Homes.com AI-powered search application (launched February 2026), which drove a 119% increase in organic traffic and contributed to Q2 2026's profitability inflection [1]. Matterport's 3D digital twin technology adds AI-driven spatial computing capabilities to the platform, and the company's massive proprietary dataset is a valuable training resource for real estate-specific AI models.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CoStar Group Q2 2026 Earnings Release — Revenue $925M (+18% YoY), Net Income +817%, Adjusted EBITDA $184M (more than doubled), Guidance $3.715-3.755B Revenue, July 2026; Q1 2026 Earnings — Revenue $897M (+23%), Bookings $67M (+20%), April 2026</w:t>
      </w:r>
    </w:p>
    <w:p>
      <w:pPr>
        <w:spacing w:before="20" w:after="20"/>
        <w:ind w:left="170"/>
      </w:pPr>
      <w:r>
        <w:rPr>
          <w:rFonts w:ascii="Calibri" w:hAnsi="Calibri"/>
          <w:b/>
          <w:color w:val="4A6B25"/>
          <w:sz w:val="15"/>
        </w:rPr>
        <w:t xml:space="preserve">2. </w:t>
      </w:r>
      <w:r>
        <w:rPr>
          <w:rFonts w:ascii="Calibri" w:hAnsi="Calibri"/>
          <w:b w:val="0"/>
          <w:color w:val="3A4A28"/>
          <w:sz w:val="17"/>
        </w:rPr>
        <w:t>CoStar Group Leadership, Andy Florance Profile, AI-Powered Homes.com Search Application — costargroup.com; SP 200 Power List; Glassdoor Reviews (2.7/5, 3,044 reviews), 2025-2026</w:t>
      </w:r>
    </w:p>
    <w:p>
      <w:pPr>
        <w:spacing w:before="20" w:after="20"/>
        <w:ind w:left="170"/>
      </w:pPr>
      <w:r>
        <w:rPr>
          <w:rFonts w:ascii="Calibri" w:hAnsi="Calibri"/>
          <w:b/>
          <w:color w:val="4A6B25"/>
          <w:sz w:val="15"/>
        </w:rPr>
        <w:t xml:space="preserve">3. </w:t>
      </w:r>
      <w:r>
        <w:rPr>
          <w:rFonts w:ascii="Calibri" w:hAnsi="Calibri"/>
          <w:b w:val="0"/>
          <w:color w:val="3A4A28"/>
          <w:sz w:val="17"/>
        </w:rPr>
        <w:t>CoStar Group ESG Report 2024, Antitrust Class-Action Lawsuits (April-June 2026), Sustainalytics Low Controversy Rating, Richmond Campus Completion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 CSGP Valuation Metrics: Forward P/E 24.80x, PEG 0.53, D/E 14.54%, Stock Price $32.30; Simply Wall St Insider Buying Activity ($5M net),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