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CUE</w:t>
      </w:r>
      <w:r>
        <w:rPr>
          <w:rFonts w:ascii="Calibri" w:hAnsi="Calibri"/>
          <w:b/>
          <w:color w:val="1A2010"/>
          <w:sz w:val="40"/>
        </w:rPr>
        <w:t xml:space="preserve">  Cue Biopharma, Inc.</w:t>
      </w:r>
    </w:p>
    <w:p>
      <w:pPr>
        <w:spacing w:after="120"/>
      </w:pPr>
      <w:r>
        <w:rPr>
          <w:rFonts w:ascii="Calibri" w:hAnsi="Calibri"/>
          <w:b/>
          <w:color w:val="6E8450"/>
          <w:sz w:val="18"/>
        </w:rPr>
        <w:t>GROWTH SLEEVE · 2026-07-22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Cue Biopharma, Inc. is a clinical-stage biopharmaceutical company developing a novel class of injectable biologic therapeutics to selectively engage and modulate targeted, disease-relevant T cells. Its proprietary Immuno-STAT platform supports programs including CUE-101 (HPV16+ head and neck cancer), CUE-401 (autoimmune via Treg induction), and CUE-501 (autoimmune via B cell depletion) through collaborations with Boehringer Ingelheim and Ono Pharmaceutical. Market cap approximately $107M.</w:t>
      </w:r>
    </w:p>
    <w:p>
      <w:r>
        <w:rPr>
          <w:rFonts w:ascii="Calibri" w:hAnsi="Calibri"/>
          <w:b/>
          <w:color w:val="6E8450"/>
          <w:sz w:val="18"/>
        </w:rPr>
        <w:t>29 Employees · https://www.cuebiopharma.com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CUE advanced CUE-101 through Phase 1b demonstrating a confirmed 50% ORR with pembrolizumab combination in HPV16+ head and neck cancer, with median OS of 32.7 months — clinically meaningful for a 29-employee company [1]. The strategic pivot from oncology toward autoimmune indications (CUE-401, CUE-501) and the Boehringer Ingelheim collaboration validated the Immuno-STAT platform with a $7.5M milestone payment received in Q1 2026 [1]. However, no products are commercialized after 12 years of operations. AI Deployment (0/2): No AI-powered products or AI-driven cost savings. Development is traditional wet-lab and clinical trial based [5]. Market Share (0/2): Pre-revenue clinical-stage company with no marketed products and zero market share in any therapeutic category [1]. Product Pipeline (1/2): Multiple candidates with some timeline visibility — CUE-501 advancing under Boehringer Ingelheim collaboration (up to $337.5M potential milestones), CUE-102 IND-enabling studies targeting 2027 clinical entry — but no Phase 3 programs or specific launch dates [1]. R&amp;D Intensity (1/1): R&amp;D spending of $6.9M in Q1 2026 against $5.7M revenue represents ~120% R&amp;D-to-revenue ratio, far exceeding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CUE's purpose of developing novel biologics to selectively modulate the immune system for cancer and autoimmune diseases is clear and identifies specific patient populations, but is standard for clinical-stage immunology biotechs — not particularly distinctive [3]. Community Impact (0/2): No evidence of charitable programs, foundation, or community investment for this 29-person micro-cap company [4]. Employee Retention (0/2): Glassdoor reviews are positive with employees praising 'down to earth, brilliant people' in senior leadership [3], but the company has cycled through three CEOs in ten months — Usman Azam (appointed September 2025, resigned March 2026), interim CEO Kellmeyer, and current CEO Shao-Lee Lin — fundamentally undermining any retention narrative at the leadership level [3]. Insider Buying (0/2): No evidence of meaningful net insider buying. The $30M private placement was institutional, and CEO Azam's departure within 6 months represents insider exit rather than conviction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surged to $5.7M from $0.4M a year prior, driven entirely by Boehringer Ingelheim collaboration payments rather than product revenue [1]. D/E of 42% is well below the 70% target (score 1.0), reflecting manageable debt of $3.4M against $17.4M cash plus the $30M private placement [2]. Revenue growth YoY of approximately 1325% scores mechanically at 1.0, though it reflects milestone timing rather than sustainable commercial traction [1]. ROE of -138.5% (score 0.0) and profit margin of -59.7% (score 0.0) reflect ongoing clinical-stage cash burn of approximately $24.6M annually [2]. Forward P/E and PEG are not calculable given negative earnings. Liquidity floor cleared: 560K avg volume x $25.39 = $14.2M &gt; $1M [2]. Growth stock weighted sum: (1x1.0 + 2x0.0 + 1x1.0 + 1x0.0) = 2.0 / 5.0 available = 4.0, rounds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CUE Biopharma exhibits a largely finite game posture. While the mission of enabling functional cures in immunology is genuine, the company's leadership instability — three CEOs in ten months — signals an organization in survival mode rather than one building to endure. The strategic pivot from oncology to autoimmune was meaningful adaptation, but the revolving leadership door and dependence on a single major partnership (Boehringer Ingelheim) suggest reactive decision-making rather than purposeful long-term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CUE's purpose of developing novel T cell modulators for cancer and autoimmune diseases is medically meaningful but interchangeable with dozens of clinical-stage immunology biotechs [3]. The cause has not been tested through crisis or validated by decades of execution — the company is 12 years old with no approved products. Three CEOs in ten months demonstrates the cause is not embedded deeply enough to transcend individual leaders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positive working culture at the operational level, with employees citing 'culture, management, and senior leadership' as strengths and describing leaders as 'down to earth, brilliant people' [3]. However, unprecedented CEO churn — Azam hired September 2025, resigned March 2026, interim Kellmeyer, then Lin appointed — creates profound organizational uncertainty that erodes trust at the strategic level [3]. The 29-person team likely maintains tight-knit collaboration at the working level despite C-suite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CUE's public communications and SEC filings focus on platform differentiation rather than learning from competitors' strengths [1]. The company is too small and survival-focused to engage in meaningful competitive reflection against larger immuno-oncology and autoimmune players like Bristol-Myers Squibb, Merck, and Roche.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CUE's pivot from oncology emphasis (CUE-101, CUE-102) toward autoimmune disease (CUE-401, CUE-501) represents a meaningful strategic shift, redirecting the Immuno-STAT platform toward a different patient population with potentially larger commercial opportunity [1]. The shift was incremental — the underlying technology remained the same — but demonstrates willingness to adapt the pipeline mix based on where the platform shows the most promise.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CEO Azam resigned after just 6 months (March 2026), representing departure rather than courageous commitment [3]. The $30M private placement and Boehringer partnership are standard biotech financing moves, not examples of leadership investing against the grain. The rapid CEO turnover cycle suggests leadership driven by personal circumstances or strategic disagreement rather than principled long-term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Cue Biopharma's Q1 2026 results mark a pivotal inflection — revenue surged to $5.7M from $0.4M a year prior, driven by the Boehringer Ingelheim collaboration that validated the proprietary Immuno-STAT platform with a $7.5M milestone payment [1]. CUE-101 Phase 1b demonstrated a confirmed 50% ORR with pembrolizumab in HPV16+ head and neck cancer with median OS of 32.7 months — clinically meaningful results for a 29-person company [1]. The Boehringer partnership carries up to $337.5M in potential milestones, and the $30M private placement plus new CEO Shao-Lee Lin (ex-Acelyrin founder, prior AbbVie) provide capital and leadership runway [1][3]. Net loss narrowed 58% YoY with EPS improving from -$4.95 to -$1.08, signaling improving capital efficiency.</w:t>
      </w:r>
    </w:p>
    <w:p>
      <w:pPr>
        <w:spacing w:after="120"/>
      </w:pPr>
      <w:r>
        <w:rPr>
          <w:rFonts w:ascii="Calibri" w:hAnsi="Calibri"/>
          <w:b w:val="0"/>
          <w:color w:val="3A4A28"/>
          <w:sz w:val="20"/>
        </w:rPr>
        <w:t>Leadership instability is the defining risk — CUE has burned through three CEOs in ten months (Azam resigned March 2026 after joining September 2025, interim Kellmeyer, now Lin), creating strategic whiplash at a critical clinical stage [3]. The company remains deeply unprofitable with -138.5% ROE, -59.7% profit margin, and approximately $24.6M annual operating cash burn [2]. At $107M market cap with no approved products and full clinical-stage binary risk, a single trial failure could eliminate most of the equity value. The $5.7M quarterly revenue is entirely collaboration-dependent milestone payments rather than commercial product revenue, and future milestones are contingent on successful advancement of partnered programs [1]. The reverse stock split masks underlying share price weakness, and additional dilutive equity raises are likely within 12-18 months given the cash burn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Boehringer Ingelheim collaboration advancing toward additional milestones beyond the $7.5M received — up to $337.5M total potential validates platform and provides non-dilutive funding [1]</w:t>
      </w:r>
    </w:p>
    <w:p>
      <w:pPr>
        <w:spacing w:before="40" w:after="40"/>
        <w:ind w:left="283"/>
      </w:pPr>
      <w:r>
        <w:rPr>
          <w:rFonts w:ascii="Calibri" w:hAnsi="Calibri"/>
          <w:b/>
          <w:color w:val="4A6B25"/>
          <w:sz w:val="20"/>
        </w:rPr>
        <w:t xml:space="preserve">2. </w:t>
      </w:r>
      <w:r>
        <w:rPr>
          <w:rFonts w:ascii="Calibri" w:hAnsi="Calibri"/>
          <w:b w:val="0"/>
          <w:color w:val="3A4A28"/>
          <w:sz w:val="20"/>
        </w:rPr>
        <w:t>CUE-101 Phase 1b data maturation in HPV16+ head and neck cancer — additional response and survival data could attract larger pharma partnership or acquisition interest</w:t>
      </w:r>
    </w:p>
    <w:p>
      <w:pPr>
        <w:spacing w:before="40" w:after="40"/>
        <w:ind w:left="283"/>
      </w:pPr>
      <w:r>
        <w:rPr>
          <w:rFonts w:ascii="Calibri" w:hAnsi="Calibri"/>
          <w:b/>
          <w:color w:val="4A6B25"/>
          <w:sz w:val="20"/>
        </w:rPr>
        <w:t xml:space="preserve">3. </w:t>
      </w:r>
      <w:r>
        <w:rPr>
          <w:rFonts w:ascii="Calibri" w:hAnsi="Calibri"/>
          <w:b w:val="0"/>
          <w:color w:val="3A4A28"/>
          <w:sz w:val="20"/>
        </w:rPr>
        <w:t>New CEO Shao-Lee Lin (Acelyrin founder, former AbbVie executive) stabilizing leadership and potentially attracting institutional investor confidence after three CEO transitions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revolving door — three CEOs in ten months (Azam, Kellmeyer, Lin) signals organizational dysfunction and strategic uncertainty at a critical clinical development stage [3]</w:t>
      </w:r>
    </w:p>
    <w:p>
      <w:pPr>
        <w:spacing w:before="40" w:after="40"/>
        <w:ind w:left="283"/>
      </w:pPr>
      <w:r>
        <w:rPr>
          <w:rFonts w:ascii="Calibri" w:hAnsi="Calibri"/>
          <w:b/>
          <w:color w:val="4A6B25"/>
          <w:sz w:val="20"/>
        </w:rPr>
        <w:t xml:space="preserve">2. </w:t>
      </w:r>
      <w:r>
        <w:rPr>
          <w:rFonts w:ascii="Calibri" w:hAnsi="Calibri"/>
          <w:b w:val="0"/>
          <w:color w:val="3A4A28"/>
          <w:sz w:val="20"/>
        </w:rPr>
        <w:t>Cash burn of approximately $24.6M annually against collaboration-dependent revenue creates high dilution risk through future equity raises within 12-18 months [1][2]</w:t>
      </w:r>
    </w:p>
    <w:p>
      <w:pPr>
        <w:spacing w:before="40" w:after="40"/>
        <w:ind w:left="283"/>
      </w:pPr>
      <w:r>
        <w:rPr>
          <w:rFonts w:ascii="Calibri" w:hAnsi="Calibri"/>
          <w:b/>
          <w:color w:val="4A6B25"/>
          <w:sz w:val="20"/>
        </w:rPr>
        <w:t xml:space="preserve">3. </w:t>
      </w:r>
      <w:r>
        <w:rPr>
          <w:rFonts w:ascii="Calibri" w:hAnsi="Calibri"/>
          <w:b w:val="0"/>
          <w:color w:val="3A4A28"/>
          <w:sz w:val="20"/>
        </w:rPr>
        <w:t>Clinical-stage binary risk — no approved products means a single trial failure could eliminate most of the $107M market cap, with zero revenue diversification buffer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CUE's core business — developing injectable biologics through T cell immunology, clinical trials, and FDA regulatory processes — is structurally protected from AI disruption. Drug development requires physical wet-lab research, animal studies, and multi-phase human clinical trials that AI cannot replace [5]. The Immuno-STAT platform involves proprietary protein engineering and biological assays that are fundamentally laboratory-based. FDA regulatory approval demands physical evidence of safety and efficacy that no AI system can generate computationally [1]. However, AI-driven drug discovery platforms from larger competitors could compress timelines and reduce costs, potentially disadvantaging a 29-employee micro-cap biotech that lacks the data scale and computational infrastructure to compete on AI-augmented discovery [5]. AI Opportunity (0/1): No AI-generated revenue. CUE's development process is traditional biologics research without reported AI integration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Cue Biopharma Q1 2026 Financial Results and Strategic Developments — SEC Form 8-K / BioSpace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CUE Key Statistics, $107M market cap, D/E 42%, ROE -138.5%,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Cue Biopharma Leadership Transitions and Glassdoor Reviews — BioSpace, Fierce Biotech,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Cue Biopharma ESG Risk Rating,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ZS Insights / BioSpace — Scaling AI in Pharma and Biotech: 2026 CDIO Research, AI drug discovery trends,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