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w:t>
      </w:r>
      <w:r>
        <w:rPr>
          <w:rFonts w:ascii="Calibri" w:hAnsi="Calibri"/>
          <w:b/>
          <w:color w:val="1A2010"/>
          <w:sz w:val="40"/>
        </w:rPr>
        <w:t xml:space="preserve">  DuPont de Nemours, Inc.</w:t>
      </w:r>
    </w:p>
    <w:p>
      <w:pPr>
        <w:spacing w:after="120"/>
      </w:pPr>
      <w:r>
        <w:rPr>
          <w:rFonts w:ascii="Calibri" w:hAnsi="Calibri"/>
          <w:b/>
          <w:color w:val="6E8450"/>
          <w:sz w:val="18"/>
        </w:rPr>
        <w:t>GROWTH SLEEVE · 2026-08-28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NYSE · United States</w:t>
      </w:r>
    </w:p>
    <w:p>
      <w:pPr>
        <w:spacing w:after="80"/>
      </w:pPr>
      <w:r>
        <w:rPr>
          <w:rFonts w:ascii="Calibri" w:hAnsi="Calibri"/>
          <w:b w:val="0"/>
          <w:color w:val="3A4A28"/>
          <w:sz w:val="20"/>
        </w:rPr>
        <w:t>DuPont de Nemours operates through two segments: Healthcare &amp; Water Technologies (water filtration, biopharma processing, medical packaging) and Diversified Industrials (electronics materials, protective solutions, industrial technologies). Post-separation of Qnity Electronics (completed November 2025) and a 1:3 reverse stock split (June 2026), DuPont focuses on specialty materials serving healthcare, water, and industrial end markets. Q2 2026 delivered $1.82B revenue (+4% YoY) with 80bps margin expansion and 127% FCF conversion. CEO Lori D. Koch leads the company through its post-restructuring growth phase.</w:t>
      </w:r>
    </w:p>
    <w:p>
      <w:r>
        <w:rPr>
          <w:rFonts w:ascii="Calibri" w:hAnsi="Calibri"/>
          <w:b/>
          <w:color w:val="6E8450"/>
          <w:sz w:val="18"/>
        </w:rPr>
        <w:t>15,000 Employees · https://www.dupont.com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DuPont has undergone significant corporate restructuring — the Dow/DuPont merger in 2017, three-way split in 2019, and electronics business separation in 2024 — but these are financial engineering actions, not product innovation [5]. Healthcare &amp; Water Technologies grew 6% in Q1 2026, reflecting incremental gains rather than transformative new product launches [1]. AI Deployment (0/2): No AI strategy, AI-powered products, or quantified AI-driven efficiency gains were identified in DuPont's public filings or investor presentations [1][2]. Market Share (1/2): DuPont holds meaningful positions in water filtration membranes, medical packaging, and biopharma processing materials, but operates as a participant in fragmented specialty chemicals markets rather than a dominant category leader [1][5]. Product Pipeline (0/2): No specific next-generation products with named timelines were disclosed; R&amp;D activity is described in general terms around healthcare and water innovation without revenue visibility [1][2]. R&amp;D Intensity (1/1): DuPont maintains a Chief Technology &amp; Sustainability Officer (Alexa Dembek) and dedicated innovation centers, with R&amp;D spend approximately at industry average for specialty chemicals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DuPont's stated purpose centers on 'innovation that leverages science and engineering capabilities' to address challenges in food, environment, and sustainability — clear about what the company does and for whom, but not distinctive enough to differentiate from any specialty chemicals peer [5]. It reads as functional rather than inspiring. Community Impact (0/2): No specific charitable programs, foundation activities, or community investment initiatives with quantified impact were identified in available public materials [5]. Employee Retention (0/2): DuPont reduced headcount by 37.5%, from 24,000 to approximately 15,000 employees, through restructuring and the electronics business separation — a disruptive environment inconsistent with strong retention or mission-driven loyalty [6]. Insider Buying (0/2): No meaningful net insider buying by CEO or executives was identified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Growth-sleeve stock. Balance sheet strength is the standout: D/E of 23% is well below the 70% target, earning a perfect metric score [5]. Forward P/E of 20.09 is essentially at the 20 target, and Forward PEG of 1.05 is near the ideal 1.0 threshold, both scoring well [5]. Q1 2026 delivered $1.681B net sales (up 4% YoY) with operating EBITDA of $414M (up 15%) and EBITDA margin expanding 230 bps to 24.6% [1]. However, ROE of 0.90% is critically weak — far below the 15% target — dragging the score significantly given its 2x weight for Growth stocks [5]. Profit margin of -0.42% floors at zero, and 5-year revenue CAGR of approximately -2% (reflecting serial divestitures) also underperforms significantly with its 2x Growth weighting [5]. Revenue growth YoY of 4% shows improvement but remains below the 10%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DuPont under its current leadership is a financial engineering story, not an infinite game player. The company has undergone three major corporate restructurings in seven years — the Dow/DuPont merger, three-way split, and electronics separation — each driven by financial optimization and sum-of-the-parts valuation arguments rather than a durable Just Cause. A 37.5% headcount reduction signals a low-trust environment during transition. While the strategic flexibility of serial divestitures is notable, Sinek would observe that DuPont keeps reinventing what it is rather than deepening why it exists.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DuPont's purpose of leveraging 'science and engineering capabilities' for food, environment, and sustainability exists but reads as shallow and interchangeable with any specialty chemicals company [5]. More critically, the company's identity has been redefined three times in seven years through merger, split, and separation — suggesting the purpose follows the portfolio rather than the portfolio following the purpose. Leadership references 'innovation' generically without connecting strategic decisions to a specific vision of a better future [1][2]. Sinek would note the absence of a cause that endures across these transformations.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DuPont reduced its workforce by approximately 37.5%, from 24,000 to 15,000 employees, through restructuring and the electronics business separation [6]. Serial corporate restructuring creates organizational instability — employees face uncertainty about which entity they will end up in, which roles will survive, and what the company's identity will be next quarter. Leadership changes accompanying each restructuring further erode institutional trust. This is a low-trust environment by Sinek's standards, where employees are managing career risk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DuPont competes with BASF, 3M, Honeywell, and Danaher across its specialty materials segments, but no evidence was found of management adopting an infinite competitive mindset [1][5]. Earnings calls and investor presentations focus on margin improvement, portfolio optimization, and cost synergies — language oriented toward winning on financial metrics rather than learning from competitors' strengths. No management commentary was identified that references worthy rivals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DuPont has demonstrably transformed itself multiple times — merging with Dow, splitting into three companies, and then separating its electronics business to focus on healthcare and water [5]. These are genuine strategic pivots that fundamentally changed the company's scope and identity. However, Sinek would distinguish between flexibility driven by a Just Cause (Apple abandoning the Mac platform for the iPhone because it served the user experience mission) and flexibility driven by financial optimization. DuPont's transformations appear driven by sum-of-the-parts arbitrage and portfolio rationalization rather than advancing a purpose that demanded the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DuPont's leadership has made bold restructuring decisions — the three-way split of DowDuPont and the subsequent electronics business separation required conviction to pursue complex transactions despite execution risk [5]. The decision to focus the remaining company on healthcare, water, and industrial materials reflects a willingness to shed profitable businesses. However, these moves are better characterized as financial engineering to unlock shareholder value than as purpose-driven courage — each restructuring was positioned in terms of sum-of-the-parts valuation and margin improvement rather than advancing a durable mission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DuPont's post-separation entity is a focused specialty materials company with defensible positions in healthcare, water filtration, and industrial technologies. Q1 2026 results were encouraging: net sales of $1.681B grew 4% with 2% organic growth, operating EBITDA of $414M expanded 15% with margins reaching 24.6% (up 230 bps), and adjusted EPS of $0.55 surged 53% YoY [1]. Full-year 2026 guidance of $7.155-$7.215B in sales and $2.35-$2.40 adjusted EPS implies continued margin expansion [2]. The balance sheet is clean with D/E of just 23%, and the Forward PEG of 1.05 suggests reasonable valuation relative to growth expectations [5]. The company's materials are essential to secular growth themes — water scarcity, biopharma processing, and semiconductor fabrication — providing structural demand tailwinds.</w:t>
      </w:r>
    </w:p>
    <w:p>
      <w:pPr>
        <w:spacing w:after="120"/>
      </w:pPr>
      <w:r>
        <w:rPr>
          <w:rFonts w:ascii="Calibri" w:hAnsi="Calibri"/>
          <w:b w:val="0"/>
          <w:color w:val="3A4A28"/>
          <w:sz w:val="20"/>
        </w:rPr>
        <w:t>The bear case centers on profitability, PFAS liability escalation, and serial restructuring risk. Trailing profit margin is slightly negative (-0.42%) and ROE is a negligible 0.90%, reflecting a company still finding its financial footing after repeated divestitures [5]. The 5-year revenue CAGR of approximately -2% illustrates how much revenue has been shed through spin-offs. PFAS liability is escalating materially — beyond the Montana RICO class-action (January 2026) and New Jersey settlement ($875M), New York AG Letitia James filed a sweeping PFAS lawsuit against DuPont in July 2026, and in August 2026 California AG Rob Bonta alleged DuPont engaged in fraudulent corporate restructuring to shift PFAS liabilities onto Chemours [3][4]. Cumulative PFAS exposure could reach billions and remains difficult to model. The 37.5% headcount reduction from 24,000 to 15,000 employees signals significant organizational disruption [6]. DuPont has reinvented itself three times in seven years; investors must trust that this latest configuration is the final, durable 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Healthcare &amp; Water Technologies segment growing at 6% with 30.3% EBITDA margins, positioned to benefit from secular demand in water scarcity solutions, biopharma processing, and medical packaging expansion [1]</w:t>
      </w:r>
    </w:p>
    <w:p>
      <w:pPr>
        <w:spacing w:before="40" w:after="40"/>
        <w:ind w:left="283"/>
      </w:pPr>
      <w:r>
        <w:rPr>
          <w:rFonts w:ascii="Calibri" w:hAnsi="Calibri"/>
          <w:b/>
          <w:color w:val="4A6B25"/>
          <w:sz w:val="20"/>
        </w:rPr>
        <w:t xml:space="preserve">2. </w:t>
      </w:r>
      <w:r>
        <w:rPr>
          <w:rFonts w:ascii="Calibri" w:hAnsi="Calibri"/>
          <w:b w:val="0"/>
          <w:color w:val="3A4A28"/>
          <w:sz w:val="20"/>
        </w:rPr>
        <w:t>Operating EBITDA margin expansion of 230 bps in Q1 2026 to 24.6%, with full-year guidance implying continued profitability improvement as post-separation cost synergies are realized [1][2]</w:t>
      </w:r>
    </w:p>
    <w:p>
      <w:pPr>
        <w:spacing w:before="40" w:after="40"/>
        <w:ind w:left="283"/>
      </w:pPr>
      <w:r>
        <w:rPr>
          <w:rFonts w:ascii="Calibri" w:hAnsi="Calibri"/>
          <w:b/>
          <w:color w:val="4A6B25"/>
          <w:sz w:val="20"/>
        </w:rPr>
        <w:t xml:space="preserve">3. </w:t>
      </w:r>
      <w:r>
        <w:rPr>
          <w:rFonts w:ascii="Calibri" w:hAnsi="Calibri"/>
          <w:b w:val="0"/>
          <w:color w:val="3A4A28"/>
          <w:sz w:val="20"/>
        </w:rPr>
        <w:t>Forward PEG of 1.05 near fair value with $2.35-$2.40 adjusted EPS guidance, offering upside if the focused portfolio delivers sustained mid-single-digit organic growth above consensus expectations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litigation exposure escalating rapidly — Montana RICO class-action, $875M NJ settlement, $1.185B water utility settlement, plus new NY AG lawsuit (July 2026) and CA AG fraudulent restructuring allegations (August 2026) could generate billions in additional liabilities; CA AG claim that DuPont deliberately shifted PFAS liabilities onto Chemours introduces existential governance risk [3][4]</w:t>
      </w:r>
    </w:p>
    <w:p>
      <w:pPr>
        <w:spacing w:before="40" w:after="40"/>
        <w:ind w:left="283"/>
      </w:pPr>
      <w:r>
        <w:rPr>
          <w:rFonts w:ascii="Calibri" w:hAnsi="Calibri"/>
          <w:b/>
          <w:color w:val="4A6B25"/>
          <w:sz w:val="20"/>
        </w:rPr>
        <w:t xml:space="preserve">2. </w:t>
      </w:r>
      <w:r>
        <w:rPr>
          <w:rFonts w:ascii="Calibri" w:hAnsi="Calibri"/>
          <w:b w:val="0"/>
          <w:color w:val="3A4A28"/>
          <w:sz w:val="20"/>
        </w:rPr>
        <w:t>Serial restructuring has produced a company with -0.42% profit margin, 0.90% ROE, and negative 5-year revenue CAGR, leaving no margin of safety if the focused portfolio fails to deliver the margin expansion embedded in guidance [5]</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37.5% headcount reduction and three corporate restructurings in seven years risks talent attrition, execution gaps, and loss of institutional knowledge in critical specialty materials businesses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DuPont's core business is specialty chemicals and materials manufacturing — water filtration membranes, medical packaging, biopharma processing materials, and industrial solutions are physical-world products requiring chemical engineering, regulatory compliance, and manufacturing expertise that AI structurally cannot displace [1][5]. The Healthcare &amp; Water Technologies segment operates in regulated environments (FDA, EPA) with high switching costs and qualification barriers. Diversified Industrials produces physical materials for electronics and protective applications. No analysts have flagged AI substitution risk for DuPont's business lines; if anything, AI-driven growth in semiconductor fabrication and data center buildouts could increase demand for DuPont's electronics materials [1]. AI Opportunity (0/1): DuPont does not generate quantifiable revenue from AI-related products or services. No AI product strategy or AI-specific revenue has been disclosed in earnings calls or investor materials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DuPont Reports Q1 and Q2 2026 Results — Q1: $1.68B (+4.3%), Q2: $1.82B (+4.0%), 127% FCF Conversion, Raised Guidance — DuPont Investor Relations, PRNewswire, May-August 2026</w:t>
      </w:r>
    </w:p>
    <w:p>
      <w:pPr>
        <w:spacing w:before="20" w:after="20"/>
        <w:ind w:left="170"/>
      </w:pPr>
      <w:r>
        <w:rPr>
          <w:rFonts w:ascii="Calibri" w:hAnsi="Calibri"/>
          <w:b/>
          <w:color w:val="4A6B25"/>
          <w:sz w:val="15"/>
        </w:rPr>
        <w:t xml:space="preserve">2. </w:t>
      </w:r>
      <w:r>
        <w:rPr>
          <w:rFonts w:ascii="Calibri" w:hAnsi="Calibri"/>
          <w:b w:val="0"/>
          <w:color w:val="3A4A28"/>
          <w:sz w:val="17"/>
        </w:rPr>
        <w:t>DuPont FY 2026 Earnings Guidance — $7.1B Revenue, ~4% Organic Growth — GuruFocus/Ticker Report, 2026</w:t>
      </w:r>
    </w:p>
    <w:p>
      <w:pPr>
        <w:spacing w:before="20" w:after="20"/>
        <w:ind w:left="170"/>
      </w:pPr>
      <w:r>
        <w:rPr>
          <w:rFonts w:ascii="Calibri" w:hAnsi="Calibri"/>
          <w:b/>
          <w:color w:val="4A6B25"/>
          <w:sz w:val="15"/>
        </w:rPr>
        <w:t xml:space="preserve">3. </w:t>
      </w:r>
      <w:r>
        <w:rPr>
          <w:rFonts w:ascii="Calibri" w:hAnsi="Calibri"/>
          <w:b w:val="0"/>
          <w:color w:val="3A4A28"/>
          <w:sz w:val="17"/>
        </w:rPr>
        <w:t>PFAS RICO Class Action Ruling Against DuPont — Montana Federal Court, Yahoo Finance, January 2026</w:t>
      </w:r>
    </w:p>
    <w:p>
      <w:pPr>
        <w:spacing w:before="20" w:after="20"/>
        <w:ind w:left="170"/>
      </w:pPr>
      <w:r>
        <w:rPr>
          <w:rFonts w:ascii="Calibri" w:hAnsi="Calibri"/>
          <w:b/>
          <w:color w:val="4A6B25"/>
          <w:sz w:val="15"/>
        </w:rPr>
        <w:t xml:space="preserve">4. </w:t>
      </w:r>
      <w:r>
        <w:rPr>
          <w:rFonts w:ascii="Calibri" w:hAnsi="Calibri"/>
          <w:b w:val="0"/>
          <w:color w:val="3A4A28"/>
          <w:sz w:val="17"/>
        </w:rPr>
        <w:t>PFAS Liability Escalation — NJ $875M Settlement, NY AG Lawsuit (July 2026), CA AG Fraudulent Restructuring Allegations (August 2026) — DuPont News, Seeking Alpha, Chemical &amp; Engineering News,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 DD Key Statistics: Forward P/E 19.56, D/E 23%, ROE 0.90%, PEG 1.02,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DuPont Qnity Electronics Spin-Off (Nov 2025), Reverse Stock Split 1:3 (June 2026), Headcount — MacroTrends, PRNewswire,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