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DEVS</w:t>
      </w:r>
      <w:r>
        <w:rPr>
          <w:rFonts w:ascii="Calibri" w:hAnsi="Calibri"/>
          <w:b/>
          <w:color w:val="1A2010"/>
          <w:sz w:val="40"/>
        </w:rPr>
        <w:t xml:space="preserve">  DevvStream Corp.</w:t>
      </w:r>
    </w:p>
    <w:p>
      <w:pPr>
        <w:spacing w:after="120"/>
      </w:pPr>
      <w:r>
        <w:rPr>
          <w:rFonts w:ascii="Calibri" w:hAnsi="Calibri"/>
          <w:b/>
          <w:color w:val="6E8450"/>
          <w:sz w:val="18"/>
        </w:rPr>
        <w:t>GROWTH SLEEVE · 2026-08-10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Environmental Services · NASDAQ · United States</w:t>
      </w:r>
    </w:p>
    <w:p>
      <w:pPr>
        <w:spacing w:after="80"/>
      </w:pPr>
      <w:r>
        <w:rPr>
          <w:rFonts w:ascii="Calibri" w:hAnsi="Calibri"/>
          <w:b w:val="0"/>
          <w:color w:val="3A4A28"/>
          <w:sz w:val="20"/>
        </w:rPr>
        <w:t>DevvStream Corp. is a carbon management company specializing in the development, investment, and sale of environmental assets, energy transition, and carbon management solutions. The company operates a co-investment model providing upfront capital and technology to projects in exchange for long-term rights to carbon credits. DevvStream maintains a pipeline of over 140 million carbon credits and has expanded into digital assets (Bitcoin, Solana staking) and I-REC brokerage.</w:t>
      </w:r>
    </w:p>
    <w:p>
      <w:r>
        <w:rPr>
          <w:rFonts w:ascii="Calibri" w:hAnsi="Calibri"/>
          <w:b/>
          <w:color w:val="6E8450"/>
          <w:sz w:val="18"/>
        </w:rPr>
        <w:t>https://www.devvstream.com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DevvStream was founded in 2021 and has yet to generate meaningful revenue from its carbon credit pipeline, with TTM revenue of only $33.9K despite a stated pipeline of 140 million credits [1]. The company pivoted to include crypto treasury (Bitcoin, Solana staking) and I-REC brokerage, but these have not produced material revenue. No successful product launches or market-generating pivots. AI Deployment (0/2): No AI deployment. The company uses blockchain technology through its partnership with Devvio for carbon credit verification, but no AI products or AI-driven revenue [3]. Market Share (0/2): DevvStream has no meaningful market share in the fragmented carbon credit market, with $33.9K TTM revenue against a global voluntary carbon market valued at billions. The company is a pre-revenue participant. Product Pipeline (0/2): The 140 million carbon credit pipeline represents potential future value, but the company has disclosed no specific monetization timelines, revenue projections, or binding contracts that provide revenue visibility [1]. R&amp;D Intensity (0/1): No evidence of meaningful R&amp;D spending; the company is a carbon credit aggregator and broker, not a technology developer.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DevvStream's stated purpose to 'create alignment between sustainability and profitability' is generic and interchangeable with hundreds of ESG-focused companies [3]. The statement does not differentiate the company or articulate a deeper purpose beyond a broad sustainability claim. Community Impact (0/2): No evidence of charitable giving, community investment, or foundation activities. The company's carbon credit business inherently addresses environmental impact, but no credits have been generated at scale. Employee Retention (0/2): The company appears to have fewer than 20 employees; no retention data, culture information, or organizational stability metrics are publicly available. Insider Buying (0/2): No evidence of insider buying. The company raised a going concern warning in its FY2025 filing, suggesting financial distress that typically correlates with insider selling rather than buying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With a stock price of approximately $0.38 and average daily volume of approximately 873,000 shares, daily dollar volume is approximately $332,000, well below the $1,000,000 liquidity floor required by IOWN scoring [1][2]. Infrastructure is mechanically set to zero. Even without the liquidity floor, the underlying metrics would score near zero: TTM revenue of $33.9K is effectively pre-revenue, net loss of $11.8M in FY2025 widened from $9.9M in FY2024, the company raised substantial doubt about its ability to continue as a going concern, and equity is severely impaired after the $5.9M debt erasure required to maintain Nasdaq listing compliance [2][4]. Market cap of approximately $2-10M reflects the market's assessment of near-zero enterprise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DevvStream exhibits finite-game characteristics throughout. Founded in 2021 with a sustainability mission, the company has generated virtually no revenue, pivoted to crypto treasury management, raised going concern warnings, and faces Nasdaq delisting risk. Sinek would observe that a company fighting for survival with shifting strategy cannot be playing an infinite game — the focus is necessarily on surviving the current quarter, not building for decades. The sustainability purpose, while stated, has not been validated by any meaningful execution.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DevvStream articulates a sustainability purpose ('alignment between sustainability and profitability'), but the cause is shallow — it's a generic ESG claim unsupported by execution [3]. The company has generated $33.9K in TTM revenue against $11.8M in annual losses, meaning the stated purpose has produced no tangible impact. The pivot to crypto (Bitcoin, Solana staking) diverges from the sustainability mission, suggesting the cause is secondary to survival. Sinek distinguishes between stated purposes and lived purposes.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company's going concern warning, Nasdaq compliance challenges, and $5.9M debt restructuring create a survival-mode environment that is antithetical to psychological safety [2][4]. With a micro-cap market value and minimal employees, the organization lacks the stability required for trusting teams. No evidence of empowerment, long tenure, or cultural practices that create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using competitive dynamics for self-improvement. The voluntary carbon credit market includes established players like South Pole, Verra-verified developers, and major exchanges, but DevvStream does not appear to engage with these rivals in a learning-oriented way.</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pivot to crypto treasury (Bitcoin, Solana staking) represents strategic flexibility but is driven by desperation rather than purpose — the company needed new revenue sources after failing to monetize its carbon credit pipeline [1]. Sinek's framework requires that existential pivots serve the Just Cause; pivoting from carbon credits to crypto staking does the opposite, undermining the sustainability mission.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investments or sacrificing near-term results for future capability. The $10M crypto tranche, Nasdaq compliance scramble, and $5.9M debt erasure suggest reactive crisis management rather than courageous strategic decisions [1][2]. Leadership appears focused on maintaining listing status and managing cash burn rather than building long-term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DevvStream occupies a conceptually attractive position in the voluntary carbon credit market with a pipeline of over 140 million credits and partnerships with Devvio for blockchain-based credit verification [3]. The $10M crypto treasury initiative adds exposure to digital assets (Bitcoin, Solana at 6.29% staking yield), potentially providing near-term income while the carbon credit pipeline matures [1]. If the voluntary carbon market grows as climate regulations tighten and the company successfully monetizes even a fraction of its credit pipeline, the current micro-cap valuation could offer asymmetric upside.</w:t>
      </w:r>
    </w:p>
    <w:p>
      <w:pPr>
        <w:spacing w:after="120"/>
      </w:pPr>
      <w:r>
        <w:rPr>
          <w:rFonts w:ascii="Calibri" w:hAnsi="Calibri"/>
          <w:b w:val="0"/>
          <w:color w:val="3A4A28"/>
          <w:sz w:val="20"/>
        </w:rPr>
        <w:t>DevvStream is a pre-revenue company with $33.9K TTM revenue, an $11.8M annual net loss (widening from $9.9M in FY2024), and a going concern warning in its fiscal year filings [1][4]. The $5.9M debt erasure to maintain Nasdaq listing compliance and stock price near $0.38 signal severe financial distress. The 140 million carbon credit pipeline has been cited for years without meaningful monetization, raising questions about whether these credits will ever generate revenue. The crypto pivot to Bitcoin and Solana staking contradicts the sustainability mission and introduces cryptocurrency volatility risk. At approximately $2-10M market cap, the stock fails the IOWN liquidity floor test and is effectively uninvestable for institutional portfolios. Share dilution risk is extreme as the company must raise capital to fund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 meaningful carbon credit monetization from the 140 million credit pipeline, establishing a revenue base that validates the years of project development investment</w:t>
      </w:r>
    </w:p>
    <w:p>
      <w:pPr>
        <w:spacing w:before="40" w:after="40"/>
        <w:ind w:left="283"/>
      </w:pPr>
      <w:r>
        <w:rPr>
          <w:rFonts w:ascii="Calibri" w:hAnsi="Calibri"/>
          <w:b/>
          <w:color w:val="4A6B25"/>
          <w:sz w:val="20"/>
        </w:rPr>
        <w:t xml:space="preserve">2. </w:t>
      </w:r>
      <w:r>
        <w:rPr>
          <w:rFonts w:ascii="Calibri" w:hAnsi="Calibri"/>
          <w:b w:val="0"/>
          <w:color w:val="3A4A28"/>
          <w:sz w:val="20"/>
        </w:rPr>
        <w:t>Voluntary carbon market regulatory tailwinds from Article 6 of the Paris Agreement implementation and expansion of corporate net-zero commitments</w:t>
      </w:r>
    </w:p>
    <w:p>
      <w:pPr>
        <w:spacing w:before="40" w:after="40"/>
        <w:ind w:left="283"/>
      </w:pPr>
      <w:r>
        <w:rPr>
          <w:rFonts w:ascii="Calibri" w:hAnsi="Calibri"/>
          <w:b/>
          <w:color w:val="4A6B25"/>
          <w:sz w:val="20"/>
        </w:rPr>
        <w:t xml:space="preserve">3. </w:t>
      </w:r>
      <w:r>
        <w:rPr>
          <w:rFonts w:ascii="Calibri" w:hAnsi="Calibri"/>
          <w:b w:val="0"/>
          <w:color w:val="3A4A28"/>
          <w:sz w:val="20"/>
        </w:rPr>
        <w:t>Solana staking yield (6.29%) and crypto treasury generating interim income to reduce cash burn while carbon credit revenue ramps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risk: the company raised substantial doubt about its ability to continue operations, with $11.8M annual losses against $33.9K revenue and severe equity impairment</w:t>
      </w:r>
    </w:p>
    <w:p>
      <w:pPr>
        <w:spacing w:before="40" w:after="40"/>
        <w:ind w:left="283"/>
      </w:pPr>
      <w:r>
        <w:rPr>
          <w:rFonts w:ascii="Calibri" w:hAnsi="Calibri"/>
          <w:b/>
          <w:color w:val="4A6B25"/>
          <w:sz w:val="20"/>
        </w:rPr>
        <w:t xml:space="preserve">2. </w:t>
      </w:r>
      <w:r>
        <w:rPr>
          <w:rFonts w:ascii="Calibri" w:hAnsi="Calibri"/>
          <w:b w:val="0"/>
          <w:color w:val="3A4A28"/>
          <w:sz w:val="20"/>
        </w:rPr>
        <w:t>Nasdaq delisting risk: stock price near $0.38 and market cap of approximately $2-10M threaten continued listing compliance, which would further reduce liquidity and institutional access</w:t>
      </w:r>
    </w:p>
    <w:p>
      <w:pPr>
        <w:spacing w:before="40" w:after="40"/>
        <w:ind w:left="283"/>
      </w:pPr>
      <w:r>
        <w:rPr>
          <w:rFonts w:ascii="Calibri" w:hAnsi="Calibri"/>
          <w:b/>
          <w:color w:val="4A6B25"/>
          <w:sz w:val="20"/>
        </w:rPr>
        <w:t xml:space="preserve">3. </w:t>
      </w:r>
      <w:r>
        <w:rPr>
          <w:rFonts w:ascii="Calibri" w:hAnsi="Calibri"/>
          <w:b w:val="0"/>
          <w:color w:val="3A4A28"/>
          <w:sz w:val="20"/>
        </w:rPr>
        <w:t>Carbon credit pipeline execution risk: 140 million credits have been cited in filings for years without meaningful monetization, and voluntary carbon credit pricing has been volatile with integrity concerns reducing buyer willingness to pay premium prices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Carbon credit development and brokerage involves physical-world emissions reduction projects (renewable energy installations, efficiency improvements) that AI cannot substitute [3]. The underlying carbon offset projects require real infrastructure, land use changes, or technological deployments. However, carbon credit verification, pricing, and brokerage functions could face AI-driven efficiency gains that compress margins for intermediaries. The voluntary carbon market itself is not directly threatened by AI, but the company's aggregator/broker model adds less value than direct project development. AI is not a meaningful threat to the underlying carbon credit assets. AI Opportunity (0/1): No AI revenue or AI-powered products. DevvStream uses blockchain for carbon credit tracking via its Devvio partnership, but this is distributed ledger technology, not AI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DevvStream FY2025 Results and Digital Asset Strategy — BusinessWire, November 2025</w:t>
      </w:r>
    </w:p>
    <w:p>
      <w:pPr>
        <w:spacing w:before="20" w:after="20"/>
        <w:ind w:left="170"/>
      </w:pPr>
      <w:r>
        <w:rPr>
          <w:rFonts w:ascii="Calibri" w:hAnsi="Calibri"/>
          <w:b/>
          <w:color w:val="4A6B25"/>
          <w:sz w:val="15"/>
        </w:rPr>
        <w:t xml:space="preserve">2. </w:t>
      </w:r>
      <w:r>
        <w:rPr>
          <w:rFonts w:ascii="Calibri" w:hAnsi="Calibri"/>
          <w:b w:val="0"/>
          <w:color w:val="3A4A28"/>
          <w:sz w:val="17"/>
        </w:rPr>
        <w:t>DevvStream Nasdaq Compliance and $5.9M Debt Restructuring — FinancialContent, March 2026</w:t>
      </w:r>
    </w:p>
    <w:p>
      <w:pPr>
        <w:spacing w:before="20" w:after="20"/>
        <w:ind w:left="170"/>
      </w:pPr>
      <w:r>
        <w:rPr>
          <w:rFonts w:ascii="Calibri" w:hAnsi="Calibri"/>
          <w:b/>
          <w:color w:val="4A6B25"/>
          <w:sz w:val="15"/>
        </w:rPr>
        <w:t xml:space="preserve">3. </w:t>
      </w:r>
      <w:r>
        <w:rPr>
          <w:rFonts w:ascii="Calibri" w:hAnsi="Calibri"/>
          <w:b w:val="0"/>
          <w:color w:val="3A4A28"/>
          <w:sz w:val="17"/>
        </w:rPr>
        <w:t>DevvStream Company Overview, Management, and Pipeline — DevvStream.com</w:t>
      </w:r>
    </w:p>
    <w:p>
      <w:pPr>
        <w:spacing w:before="20" w:after="20"/>
        <w:ind w:left="170"/>
      </w:pPr>
      <w:r>
        <w:rPr>
          <w:rFonts w:ascii="Calibri" w:hAnsi="Calibri"/>
          <w:b/>
          <w:color w:val="4A6B25"/>
          <w:sz w:val="15"/>
        </w:rPr>
        <w:t xml:space="preserve">4. </w:t>
      </w:r>
      <w:r>
        <w:rPr>
          <w:rFonts w:ascii="Calibri" w:hAnsi="Calibri"/>
          <w:b w:val="0"/>
          <w:color w:val="3A4A28"/>
          <w:sz w:val="17"/>
        </w:rPr>
        <w:t>DevvStream SEC Filing Q1 FY2026 Going Concern Warning — StockTitan,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