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ELBM</w:t>
      </w:r>
      <w:r>
        <w:rPr>
          <w:rFonts w:ascii="Calibri" w:hAnsi="Calibri"/>
          <w:b/>
          <w:color w:val="1A2010"/>
          <w:sz w:val="40"/>
        </w:rPr>
        <w:t xml:space="preserve">  Electra Battery Materials Corporation</w:t>
      </w:r>
    </w:p>
    <w:p>
      <w:pPr>
        <w:spacing w:after="120"/>
      </w:pPr>
      <w:r>
        <w:rPr>
          <w:rFonts w:ascii="Calibri" w:hAnsi="Calibri"/>
          <w:b/>
          <w:color w:val="6E8450"/>
          <w:sz w:val="18"/>
        </w:rPr>
        <w:t>GROWTH SLEEVE · 2026-08-07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NASDAQ · Canada</w:t>
      </w:r>
    </w:p>
    <w:p>
      <w:pPr>
        <w:spacing w:after="80"/>
      </w:pPr>
      <w:r>
        <w:rPr>
          <w:rFonts w:ascii="Calibri" w:hAnsi="Calibri"/>
          <w:b w:val="0"/>
          <w:color w:val="3A4A28"/>
          <w:sz w:val="20"/>
        </w:rPr>
        <w:t>Electra Battery Materials Corporation is building North America's first battery-grade cobalt sulfate refinery in Temiskaming Shores, Ontario, alongside a battery recycling demonstration facility, to reduce North American reliance on Chinese-controlled critical mineral supply chains. Founded in 2011 as First Cobalt Corp. and rebranded in December 2021, the company also holds cobalt, copper, and silver exploration properties.</w:t>
      </w:r>
    </w:p>
    <w:p>
      <w:r>
        <w:rPr>
          <w:rFonts w:ascii="Calibri" w:hAnsi="Calibri"/>
          <w:b/>
          <w:color w:val="6E8450"/>
          <w:sz w:val="18"/>
        </w:rPr>
        <w:t>23 Employees · https://electrabmc.com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Electra secured approximately $82.5M in new capital and converted $40M of $67M in debt in late 2025/early 2026, allowing construction to resume in November 2025 after a prior financial-distress halt — real progress, but the refinery still has not produced commercial revenue in the company's 15-year history [1][2]. AI Deployment (0/2): No AI-powered products or operational AI deployment identified. Market Share (1/2): Electra holds a differentiated position as the only company advancing a domestic North American cobalt sulfate refinery, but with zero current output it has not yet converted that positioning into actual market share [2]. Product Pipeline (2/2): The refinery now has a specific, government-backed timeline — commissioning targeted Q4 2026, mechanical completion Q2 2027, commercial production Q4 2027 — with initial capacity of 5,120 tonnes/year (tpa) battery-grade cobalt sulfate expandable to 6,500 tpa, underpinned by a long-term supply agreement with LG Energy Solution [1][2]. R&amp;D Intensity (0/1): No meaningful R&amp;D spend disclosed; this is a construction and refining operation, not a technology developer.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Electra's mission of building 'the only fully integrated, localized and environmentally-sustainable battery park in North America' is clear and specific, connecting directly to energy-security and supply-chain themes, though it remains unproven by commercial execution [3]. Community Impact (1/2): The company has a benefits agreement with the Métis Nation of Ontario and secured a $20M Strategic Resource Fund investment agreement with the Government of Canada, evidence of tangible community and government partnership beyond generic ESG statements [3]. Employee Retention (0/2): With only 23 employees and no disclosed tenure or turnover data, this item cannot be scored positively. Insider Buying (2/2): CEO Trent Mell, director David Stetson (~$297K), and five additional officers/directors collectively purchased shares between October 2025 and February 2026 at $0.75-$0.79, representing broad, recent insider conviction across the leadership team.</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817,013 shares x $0.6254 stock price = ~$511,077 in daily traded value, below the $1,000,000 minimum threshold — Infrastructure score is forced to 0 regardless of other metrics [1]. Underlying financials remain distressed even excluding the floor: TTM net income of -$92.64M CAD (FY2025: -$133.47M CAD), ROE of -135.24%, a current ratio of 0.75 signaling near-term liquidity strain, and $44.7M CAD of total debt against $40.16M CAD cash. The company has zero commercial revenue and explicit management disclosure of 'substantial doubt' about its ability to continue as a going concern.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Electra is a single-project company whose entire strategic identity is completing one refinery. Recent government partnership, an LG Energy Solution offtake agreement, and broad insider buying show real conviction and some perseverance through financial distress, but 15 years without commercial revenue, a rebrand from First Cobalt, and a still-unresolved going-concern disclosure keep this squarely in finite-game territory rather than an enduring, purpose-driven organization.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Building a domestic, sustainable critical-minerals supply chain is a timely and resonant cause, but after 15 years and zero revenue it remains an unproven business plan rather than a cause validated by execution — it is also largely interchangeable with the pitch of any Western battery-materials competitor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23 employees and no public culture data, this dimension cannot be scored positively; the years of construction halts, a going-concern disclosure, and repeated capital raises create an environment of financial uncertainty that likely strains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Electra's messaging emphasizes being 'the only' or 'the first' North American cobalt refiner rather than referencing competitors' strengths as a source of self-improvement; no evidence of rival-referencing language was found.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pivoted from pure cobalt exploration (as First Cobalt) to integrated refining plus a battery-recycling demonstration plant, and diversified its financing base to include a Government of Canada Strategic Resource Fund partnership — real but incremental adaptation rather than a Sinek-caliber transformative pivot [1][3].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restructured $40M of debt and secured $82.5M in new capital to restart construction after a full halt in 2023, rather than abandoning the project, and secured a long-term LG Energy Solution offtake before the refinery is even operating — a real bet on the long-term thesis despite years of financial strain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Electra has moved from crisis to real construction momentum: $82.5M of new capital plus a $40M debt conversion allowed construction to resume in November 2025 after a prior halt, and the company has since secured a long-term supply agreement with LG Energy Solution and a $20M Strategic Resource Fund partnership with the Government of Canada [1][2][3]. The refinery now carries a specific, government-backed timeline (commissioning Q4 2026, commercial production Q4 2027, initial capacity 5,120 tpa expandable to 6,500 tpa), and insider buying across seven executives and directors between October 2025 and February 2026 signals leadership conviction at depressed prices [1][2].</w:t>
      </w:r>
    </w:p>
    <w:p>
      <w:pPr>
        <w:spacing w:after="120"/>
      </w:pPr>
      <w:r>
        <w:rPr>
          <w:rFonts w:ascii="Calibri" w:hAnsi="Calibri"/>
          <w:b w:val="0"/>
          <w:color w:val="3A4A28"/>
          <w:sz w:val="20"/>
        </w:rPr>
        <w:t>The bear case remains severe. Electra has generated zero commercial revenue in 15 years since incorporation, reported a TTM net loss of $92.64M CAD, and management has explicitly disclosed 'substantial doubt' about the company's ability to continue as a going concern [1]. Average daily dollar volume of roughly $511,000 falls below IOWN's $1M liquidity floor, mechanically zeroing the Infrastructure score regardless of operational progress — this stock is simply too thinly traded for institutional-scale positions. Cobalt prices remain pressured by DRC oversupply and a battery-chemistry shift toward lower-cobalt LFP/LMFP formulations, meaning even a successfully commissioned refinery enters a structurally challenged pricing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Refinery commissioning targeted for Q4 2026, with mechanical completion in Q2 2027 and first commercial cobalt sulfate production in Q4 2027 — the clearest near-term de-risking milestone</w:t>
      </w:r>
    </w:p>
    <w:p>
      <w:pPr>
        <w:spacing w:before="40" w:after="40"/>
        <w:ind w:left="283"/>
      </w:pPr>
      <w:r>
        <w:rPr>
          <w:rFonts w:ascii="Calibri" w:hAnsi="Calibri"/>
          <w:b/>
          <w:color w:val="4A6B25"/>
          <w:sz w:val="20"/>
        </w:rPr>
        <w:t xml:space="preserve">2. </w:t>
      </w:r>
      <w:r>
        <w:rPr>
          <w:rFonts w:ascii="Calibri" w:hAnsi="Calibri"/>
          <w:b w:val="0"/>
          <w:color w:val="3A4A28"/>
          <w:sz w:val="20"/>
        </w:rPr>
        <w:t>Long-term supply agreement with LG Energy Solution providing offtake visibility ahead of first production, reducing commercial risk for the initial capacity ramp</w:t>
      </w:r>
    </w:p>
    <w:p>
      <w:pPr>
        <w:spacing w:before="40" w:after="40"/>
        <w:ind w:left="283"/>
      </w:pPr>
      <w:r>
        <w:rPr>
          <w:rFonts w:ascii="Calibri" w:hAnsi="Calibri"/>
          <w:b/>
          <w:color w:val="4A6B25"/>
          <w:sz w:val="20"/>
        </w:rPr>
        <w:t xml:space="preserve">3. </w:t>
      </w:r>
      <w:r>
        <w:rPr>
          <w:rFonts w:ascii="Calibri" w:hAnsi="Calibri"/>
          <w:b w:val="0"/>
          <w:color w:val="3A4A28"/>
          <w:sz w:val="20"/>
        </w:rPr>
        <w:t>Continued execution of the Government of Canada Strategic Resource Fund partnership, which could unlock further non-dilutive government capital as construction progresses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average daily dollar volume (~$511K) is below the $1M threshold required for IOWN to trade the position, mechanically zeroing the Infrastructure score</w:t>
      </w:r>
    </w:p>
    <w:p>
      <w:pPr>
        <w:spacing w:before="40" w:after="40"/>
        <w:ind w:left="283"/>
      </w:pPr>
      <w:r>
        <w:rPr>
          <w:rFonts w:ascii="Calibri" w:hAnsi="Calibri"/>
          <w:b/>
          <w:color w:val="4A6B25"/>
          <w:sz w:val="20"/>
        </w:rPr>
        <w:t xml:space="preserve">2. </w:t>
      </w:r>
      <w:r>
        <w:rPr>
          <w:rFonts w:ascii="Calibri" w:hAnsi="Calibri"/>
          <w:b w:val="0"/>
          <w:color w:val="3A4A28"/>
          <w:sz w:val="20"/>
        </w:rPr>
        <w:t>Explicit going-concern disclosure alongside a 15-year history of zero commercial revenue means further dilutive capital raises remain a persistent risk if construction costs or timelines slip again</w:t>
      </w:r>
    </w:p>
    <w:p>
      <w:pPr>
        <w:spacing w:before="40" w:after="40"/>
        <w:ind w:left="283"/>
      </w:pPr>
      <w:r>
        <w:rPr>
          <w:rFonts w:ascii="Calibri" w:hAnsi="Calibri"/>
          <w:b/>
          <w:color w:val="4A6B25"/>
          <w:sz w:val="20"/>
        </w:rPr>
        <w:t xml:space="preserve">3. </w:t>
      </w:r>
      <w:r>
        <w:rPr>
          <w:rFonts w:ascii="Calibri" w:hAnsi="Calibri"/>
          <w:b w:val="0"/>
          <w:color w:val="3A4A28"/>
          <w:sz w:val="20"/>
        </w:rPr>
        <w:t>Secular headwinds from cobalt oversupply out of the DRC and a battery-chemistry shift toward lower-cobalt LFP/LMFP formulations could compress the addressable market even after the refinery reaches production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Electra's core activity — mining, chemical refining, and recycling of physical cobalt into battery-grade cobalt sulfate — is structurally immune to AI substitution; no analyst or industry commentary reviewed suggested any AI-driven disruption risk to physical mineral refining [1][2]. Rising AI data-center power and hardware demand is, if anything, a secondary tailwind for battery and critical-minerals demand broadly. AI Opportunity (0/1): No AI-derived revenue or AI-powered products exist at Electra; the business is entirely a physical refining and recycling operation.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stockanalysis.com — ELBM stock overview, financials, and statistics,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Crux Investor / StockTitan — Electra Battery Materials $82.5M refinery financing, debt conversion, and construction restart coverage, 2025-2026</w:t>
      </w:r>
    </w:p>
    <w:p>
      <w:pPr>
        <w:spacing w:before="20" w:after="20"/>
        <w:ind w:left="170"/>
      </w:pPr>
      <w:r>
        <w:rPr>
          <w:rFonts w:ascii="Calibri" w:hAnsi="Calibri"/>
          <w:b/>
          <w:color w:val="4A6B25"/>
          <w:sz w:val="15"/>
        </w:rPr>
        <w:t xml:space="preserve">3. </w:t>
      </w:r>
      <w:r>
        <w:rPr>
          <w:rFonts w:ascii="Calibri" w:hAnsi="Calibri"/>
          <w:b w:val="0"/>
          <w:color w:val="3A4A28"/>
          <w:sz w:val="17"/>
        </w:rPr>
        <w:t>Electra Battery Materials corporate website and news releases — LG Energy Solution supply agreement, Government of Canada Strategic Resource Fund partnership, Métis Nation benefits agreement</w:t>
      </w:r>
    </w:p>
    <w:p>
      <w:pPr>
        <w:spacing w:before="20" w:after="20"/>
        <w:ind w:left="170"/>
      </w:pPr>
      <w:r>
        <w:rPr>
          <w:rFonts w:ascii="Calibri" w:hAnsi="Calibri"/>
          <w:b/>
          <w:color w:val="4A6B25"/>
          <w:sz w:val="15"/>
        </w:rPr>
        <w:t xml:space="preserve">4. </w:t>
      </w:r>
      <w:r>
        <w:rPr>
          <w:rFonts w:ascii="Calibri" w:hAnsi="Calibri"/>
          <w:b w:val="0"/>
          <w:color w:val="3A4A28"/>
          <w:sz w:val="17"/>
        </w:rPr>
        <w:t>StockTitan — Electra Q1 2026 results, refinery construction budget approval and commissioning timeline</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