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ENOV</w:t>
      </w:r>
      <w:r>
        <w:rPr>
          <w:rFonts w:ascii="Calibri" w:hAnsi="Calibri"/>
          <w:b/>
          <w:color w:val="1A2010"/>
          <w:sz w:val="40"/>
        </w:rPr>
        <w:t xml:space="preserve">  Enovis Corporation</w:t>
      </w:r>
    </w:p>
    <w:p>
      <w:pPr>
        <w:spacing w:after="120"/>
      </w:pPr>
      <w:r>
        <w:rPr>
          <w:rFonts w:ascii="Calibri" w:hAnsi="Calibri"/>
          <w:b/>
          <w:color w:val="6E8450"/>
          <w:sz w:val="18"/>
        </w:rPr>
        <w:t>GROWTH SLEEVE · 2026-08-07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Enovis is a medical technology company developing clinically differentiated orthopedic solutions across two segments: Prevention &amp; Recovery (orthopedic bracing, hot/cold therapy, bone growth stimulators, electrical stimulators) and Reconstructive (hip, knee, shoulder, and extremities implants, instrumentation, and enabling technologies such as the ARVIS augmented-reality surgical guidance system). Formerly Colfax Corporation, Enovis was rebranded in 2022 to focus exclusively on medical devices, and CEO Damien McDonald (former LivaNova CEO) took over in May 2025.</w:t>
      </w:r>
    </w:p>
    <w:p>
      <w:r>
        <w:rPr>
          <w:rFonts w:ascii="Calibri" w:hAnsi="Calibri"/>
          <w:b/>
          <w:color w:val="6E8450"/>
          <w:sz w:val="18"/>
        </w:rPr>
        <w:t>7,802 Employees · https://www.enovis.com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Since the 2022 Colfax-to-Enovis pivot and 2023 LimaCorporate acquisition, Enovis has shipped multiple new products — the Nebula hip stem, OrthoDrive Surgical Impactor, and Augmented Reverse Glenoid in shoulder reconstruction — each contributing to Reconstructive segment growth [1][2]. AI Deployment (1/2): The ARVIS augmented-reality guided surgical system integrates data analytics into shoulder procedures and is marketed as positioning Enovis 'at the forefront' of AI-and-robotics-assisted minimally invasive surgery, though no specific AI-attributable revenue or cost savings have been quantified [2]. Market Share (1/2): Reconstructive segment growth of 11% reported / 6% organic in Q1 2026, with Extremities up 10% organic globally, shows real share gains in specific niches, though Enovis remains a mid-sized player behind Stryker, Zimmer Biomet, and Smith+Nephew [2]. Product Pipeline (2/2): Named, launched products with visible commercial traction (Nebula, OrthoDrive, Augmented Reverse Glenoid, ARVIS) demonstrate active pipeline execution rather than vague R&amp;D promises [2]. R&amp;D Intensity (1/1): The Enovis Business System (EBS), inherited from Danaher/Fortive operating DNA, drives continuous product and process investment above typical mid-cap medtech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Damien McDonald's 'Patients First' philosophy and the company's stated focus on 'creating better together' through clinically differentiated solutions is clear and specific, but the Enovis brand is only four years old and has not yet been validated by consistent execution through a full market cycle. Community Impact (0/2): No dollar-quantified charitable or community investment program was identified in current research. Employee Retention (0/2): No verifiable tenure or turnover data was found for the 7,802-employee organization. Insider Buying (0/2): No evidence of net insider buying was identified; the August 2026 stock decline following the earnings report occurred without any offsetting insider purchase activity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(PEG 2x, ROE 2x, Revenue 5yr CAGR 2x weighted). Forward P/E of 6.79 and PEG of 0.63 both clear target comfortably, and 5-year revenue CAGR of ~9.4% (driven by the LimaCorporate acquisition) is close to the 10% target. D/E of 91% is manageable and current ratio of 1.98 indicates adequate near-term liquidity. The metrics are dragged down by a second consecutive year of massive non-cash goodwill impairment — $501.3M in Q2 2026 following $645M in the year-ago quarter — which floors ROE (-54.1%) and profit margin (-48.0% TTM) at zero; positive free cash flow of $63.7M shows the underlying cash business remains intact even as GAAP earnings are impairment-driven [1][3]. An Altman Z-Score of 0.73 flagged by external analysis signals elevated balance-sheet stress that the mechanical score does not fully capture. Liquidity floor cleared: 3.13M avg daily volume x $26.31 = ~$82.3M in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Enovis shows real infinite-game elements — a genuine patient-first cause reinforced by the EBS continuous-improvement culture and competitive language framed around clinical differentiation rather than destroying rivals — but two consecutive years of massive goodwill impairment ($645M then $501M) on the same LimaCorporate acquisition raise real doubts about whether management's capital allocation discipline matches its stated long-term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Damien McDonald's 'Patients First' philosophy and the mission to create 'clinically differentiated solutions' that generate 'measurably better patient outcomes' is genuine and shapes specific product decisions (Nebula, ARVIS, Augmented Reverse Glenoid), but the four-year-old Enovis brand has not been tested through a full market cycle or leadership crisis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Enovis Business System provides a structured continuous-improvement framework, and the McDonald CEO transition in 2025 was managed with a retained executive advisor (former CEO Trerotola) for continuity, but no external tenure, turnover, or culture survey data exists to confirm broader organizational trust across 7,802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Enovis explicitly positions its EBS operating model and clinical-differentiation strategy in response to larger rivals' robotic platforms (Stryker Mako, Zimmer ROSA), framing the competition around improving its own precision-surgery offering rather than destroying market share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foundational pivot from diversified industrial conglomerate (Colfax) to pure-play medical devices (Enovis) in 2022 was a genuine existential transformation, but recent activity — new product launches, segment growth — represents incremental execution within that established strategy rather than a fresh strategic pivot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continues investing in the Reconstructive segment and new product launches despite absorbing a second consecutive year of a massive goodwill impairment ($501.3M in Q2 2026 following $645M a year earlier) — persistence through repeated write-downs shows some resolve, but the recurrence of impairments on the same underlying acquisition also raises doubt about whether this reflects courage or a capital-allocation misjudgment being repeatedly absorbed rather than corrected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Enovis trades at just 6.8x forward earnings and a 0.63 PEG despite headline Q2 2026 results that beat expectations — revenue of $582.8M and adjusted EPS of $0.90 both topped consensus, and full-year 2026 guidance was reaffirmed at $2.31-2.37B revenue with 4-6% organic growth [1]. The Reconstructive segment continues to outgrow the overall business (11% reported / 6% organic in Q1 2026, Extremities up 10% organic), and a steady cadence of named product launches (Nebula hip stem, ARVIS augmented-reality surgical guidance, Augmented Reverse Glenoid) shows the LimaCorporate-driven portfolio expansion is translating into real commercial traction [2]. Positive free cash flow of $63.7M and a 1.98 current ratio indicate the underlying cash-generative business remains sound beneath the GAAP losses.</w:t>
      </w:r>
    </w:p>
    <w:p>
      <w:pPr>
        <w:spacing w:after="120"/>
      </w:pPr>
      <w:r>
        <w:rPr>
          <w:rFonts w:ascii="Calibri" w:hAnsi="Calibri"/>
          <w:b w:val="0"/>
          <w:color w:val="3A4A28"/>
          <w:sz w:val="20"/>
        </w:rPr>
        <w:t>The market's skepticism is well-founded: shares fell 12.8% after the Q2 2026 report as adjusted operating margin contracted 6.7 percentage points YoY to just 4.5%, and the company booked a $501.3M goodwill impairment — the second consecutive year of a nine-figure-plus impairment (following $645M a year earlier) tied to the same LimaCorporate acquisition [1]. That drives TTM net income to -$1.1B and floors both ROE (-54.1%) and profit margin (-48.0%) in the mechanical Infrastructure score, and an Altman Z-Score of 0.73 signals elevated balance-sheet stress. Repeated large impairments on one deal raise a real question about whether management overpaid and is now recognizing that mistake in installments, which should temper confidence in the 'cheap on forward earnings' framing until margins genuinely stabilize.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Reconstructive segment sustaining high-single-digit organic growth (Extremities +10% organic in Q1 2026) as new products (Nebula hip stem, Augmented Reverse Glenoid) continue to ramp</w:t>
      </w:r>
    </w:p>
    <w:p>
      <w:pPr>
        <w:spacing w:before="40" w:after="40"/>
        <w:ind w:left="283"/>
      </w:pPr>
      <w:r>
        <w:rPr>
          <w:rFonts w:ascii="Calibri" w:hAnsi="Calibri"/>
          <w:b/>
          <w:color w:val="4A6B25"/>
          <w:sz w:val="20"/>
        </w:rPr>
        <w:t xml:space="preserve">2. </w:t>
      </w:r>
      <w:r>
        <w:rPr>
          <w:rFonts w:ascii="Calibri" w:hAnsi="Calibri"/>
          <w:b w:val="0"/>
          <w:color w:val="3A4A28"/>
          <w:sz w:val="20"/>
        </w:rPr>
        <w:t>Adjusted operating margin recovery from the Q2 2026 trough of 4.5% back toward historical levels as one-time impairment and integration charges roll off</w:t>
      </w:r>
    </w:p>
    <w:p>
      <w:pPr>
        <w:spacing w:before="40" w:after="40"/>
        <w:ind w:left="283"/>
      </w:pPr>
      <w:r>
        <w:rPr>
          <w:rFonts w:ascii="Calibri" w:hAnsi="Calibri"/>
          <w:b/>
          <w:color w:val="4A6B25"/>
          <w:sz w:val="20"/>
        </w:rPr>
        <w:t xml:space="preserve">3. </w:t>
      </w:r>
      <w:r>
        <w:rPr>
          <w:rFonts w:ascii="Calibri" w:hAnsi="Calibri"/>
          <w:b w:val="0"/>
          <w:color w:val="3A4A28"/>
          <w:sz w:val="20"/>
        </w:rPr>
        <w:t>ARVIS augmented-reality surgical platform adoption expanding as AI/robotics-assisted orthopedic surgery becomes standard of care, narrowing the gap with Stryker Mako and Zimmer ROSA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second consecutive year of massive goodwill impairment ($501.3M in Q2 2026 after $645M a year earlier) on the same LimaCorporate acquisition raises real doubt about capital allocation discipline and the risk of further write-downs</w:t>
      </w:r>
    </w:p>
    <w:p>
      <w:pPr>
        <w:spacing w:before="40" w:after="40"/>
        <w:ind w:left="283"/>
      </w:pPr>
      <w:r>
        <w:rPr>
          <w:rFonts w:ascii="Calibri" w:hAnsi="Calibri"/>
          <w:b/>
          <w:color w:val="4A6B25"/>
          <w:sz w:val="20"/>
        </w:rPr>
        <w:t xml:space="preserve">2. </w:t>
      </w:r>
      <w:r>
        <w:rPr>
          <w:rFonts w:ascii="Calibri" w:hAnsi="Calibri"/>
          <w:b w:val="0"/>
          <w:color w:val="3A4A28"/>
          <w:sz w:val="20"/>
        </w:rPr>
        <w:t>Adjusted operating margin compressed 6.7 percentage points YoY to 4.5% in Q2 2026, and an Altman Z-Score of 0.73 signals elevated balance-sheet and bankruptcy-risk stress despite positive free cash flow</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larger, better-capitalized rivals (Stryker, Zimmer Biomet, Smith+Nephew) with more mature robotic-surgery platforms that could erode Enovis's Reconstructive segment share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Enovis's core products — joint implants, orthopedic bracing, and surgical instrumentation — require physical manufacturing, FDA clearance, and in-person surgical procedures that AI cannot substitute for [1]. The residual risk is competitive rather than substitutive: larger rivals' AI/robotics-enabled surgical platforms (Stryker Mako, Zimmer ROSA) could shift surgeon preference away from Enovis's enabling technologies if it falls behind in AI-guided precision tools [2]. AI Opportunity (1/1): The ARVIS augmented-reality guided surgical system integrates data analytics into shoulder procedures and is being marketed as an AI-and-robotics-enabled minimally invasive surgery platform, giving Enovis a shipping, revenue-generating AI-adjacent product rather than a research-stage concept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MassDevice — 'Enovis shares drop after reporting softer than expected Q2 earnings', August 2026</w:t>
      </w:r>
    </w:p>
    <w:p>
      <w:pPr>
        <w:spacing w:before="20" w:after="20"/>
        <w:ind w:left="170"/>
      </w:pPr>
      <w:r>
        <w:rPr>
          <w:rFonts w:ascii="Calibri" w:hAnsi="Calibri"/>
          <w:b/>
          <w:color w:val="4A6B25"/>
          <w:sz w:val="15"/>
        </w:rPr>
        <w:t xml:space="preserve">2. </w:t>
      </w:r>
      <w:r>
        <w:rPr>
          <w:rFonts w:ascii="Calibri" w:hAnsi="Calibri"/>
          <w:b w:val="0"/>
          <w:color w:val="3A4A28"/>
          <w:sz w:val="17"/>
        </w:rPr>
        <w:t>StockStory / Investing.com — Enovis Q2 2026 earnings coverage, goodwill impairment, and guidance reaffirmation, August 2026</w:t>
      </w:r>
    </w:p>
    <w:p>
      <w:pPr>
        <w:spacing w:before="20" w:after="20"/>
        <w:ind w:left="170"/>
      </w:pPr>
      <w:r>
        <w:rPr>
          <w:rFonts w:ascii="Calibri" w:hAnsi="Calibri"/>
          <w:b/>
          <w:color w:val="4A6B25"/>
          <w:sz w:val="15"/>
        </w:rPr>
        <w:t xml:space="preserve">3. </w:t>
      </w:r>
      <w:r>
        <w:rPr>
          <w:rFonts w:ascii="Calibri" w:hAnsi="Calibri"/>
          <w:b w:val="0"/>
          <w:color w:val="3A4A28"/>
          <w:sz w:val="17"/>
        </w:rPr>
        <w:t>Enovis leadership — Damien McDonald CEO appointment (GlobeNewswire, MedTechDive), April-May 2025</w:t>
      </w:r>
    </w:p>
    <w:p>
      <w:pPr>
        <w:spacing w:before="20" w:after="20"/>
        <w:ind w:left="170"/>
      </w:pPr>
      <w:r>
        <w:rPr>
          <w:rFonts w:ascii="Calibri" w:hAnsi="Calibri"/>
          <w:b/>
          <w:color w:val="4A6B25"/>
          <w:sz w:val="15"/>
        </w:rPr>
        <w:t xml:space="preserve">4. </w:t>
      </w:r>
      <w:r>
        <w:rPr>
          <w:rFonts w:ascii="Calibri" w:hAnsi="Calibri"/>
          <w:b w:val="0"/>
          <w:color w:val="3A4A28"/>
          <w:sz w:val="17"/>
        </w:rPr>
        <w:t>AInvest — 'Enovis: Why Strong Reconstructive Growth Outperforms Market Apathy', 2026; Enovis Q1 2026 earnings slides</w:t>
      </w:r>
    </w:p>
    <w:p>
      <w:pPr>
        <w:spacing w:before="20" w:after="20"/>
        <w:ind w:left="170"/>
      </w:pPr>
      <w:r>
        <w:rPr>
          <w:rFonts w:ascii="Calibri" w:hAnsi="Calibri"/>
          <w:b/>
          <w:color w:val="4A6B25"/>
          <w:sz w:val="15"/>
        </w:rPr>
        <w:t xml:space="preserve">5. </w:t>
      </w:r>
      <w:r>
        <w:rPr>
          <w:rFonts w:ascii="Calibri" w:hAnsi="Calibri"/>
          <w:b w:val="0"/>
          <w:color w:val="3A4A28"/>
          <w:sz w:val="17"/>
        </w:rPr>
        <w:t>stockanalysis.com — ENOV financials and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