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EQPT</w:t>
      </w:r>
      <w:r>
        <w:rPr>
          <w:rFonts w:ascii="Calibri" w:hAnsi="Calibri"/>
          <w:b/>
          <w:color w:val="1A2010"/>
          <w:sz w:val="40"/>
        </w:rPr>
        <w:t xml:space="preserve">  EquipmentShare.com, Inc.</w:t>
      </w:r>
    </w:p>
    <w:p>
      <w:pPr>
        <w:spacing w:after="120"/>
      </w:pPr>
      <w:r>
        <w:rPr>
          <w:rFonts w:ascii="Calibri" w:hAnsi="Calibri"/>
          <w:b/>
          <w:color w:val="6E8450"/>
          <w:sz w:val="18"/>
        </w:rPr>
        <w:t>GROWTH SLEEVE · 2026-07-21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Trading Companies &amp; Distributors · NASDAQ · United States</w:t>
      </w:r>
    </w:p>
    <w:p>
      <w:pPr>
        <w:spacing w:after="80"/>
      </w:pPr>
      <w:r>
        <w:rPr>
          <w:rFonts w:ascii="Calibri" w:hAnsi="Calibri"/>
          <w:b w:val="0"/>
          <w:color w:val="3A4A28"/>
          <w:sz w:val="20"/>
        </w:rPr>
        <w:t>EquipmentShare.com is a nationwide construction technology and equipment solutions provider offering equipment rental, sales, and technology services across 407 operational locations. The company's proprietary T3 platform provides fleet management, telematics, AI-powered safety cameras, and jobsite productivity tools for contractors and builders. Founded in 2014 by brothers Jabbok and Willy Schlacks, IPO completed January 23, 2026 on NASDAQ, headquartered in Columbia, Missouri.</w:t>
      </w:r>
    </w:p>
    <w:p>
      <w:r>
        <w:rPr>
          <w:rFonts w:ascii="Calibri" w:hAnsi="Calibri"/>
          <w:b/>
          <w:color w:val="6E8450"/>
          <w:sz w:val="18"/>
        </w:rPr>
        <w:t>8,200 Employees · https://www.equipmentshare.com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EquipmentShare has grown from a startup in 2014 to 407 operational locations with $4.65B TTM revenue, expanding from pure equipment rental into a technology-enabled construction solutions platform with the T3 platform launch representing a genuine product pivot [1][2]. Revenue grew from $3.764B in FY2024 to $4.379B in FY2025 (+16%), accelerating to 38% YoY in Q1 2026. AI Deployment (1/2): The T3 platform includes AI-powered surveillance cameras built for harsh outdoor construction environments that flag potentially hazardous situations, telematics devices providing real-time equipment tracking and predictive maintenance, streaming billions of data points daily [3][4]. Named 'Fleet Management Technology Company of the Year' in the 2025 AutoTech Breakthrough Awards [3]. Specific revenue impact not quantified. Market Share (2/2): Fastest share gainer in the fragmented $65B US equipment rental market -- Q1 2026 revenue of $989M grew 38% YoY, with rental segment up 37%, expanding to 407 locations and raised full-year rental growth guidance from 29% to 33% [1][2]. Product Pipeline (1/2): T3 platform continues expanding with telematics, fleet management, the OWN Program for equipment lifecycle management, and AI safety capabilities. New features regularly shipped but no transformative next-gen product announced with specific timelines [3]. R&amp;D Intensity (1/1): Significant investment in proprietary technology (T3 platform, AI cameras, telematics) differentiating from traditional rental peers like United Rentals and Sunbelt Rentals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EquipmentShare's mission -- 'to enable the construction industry with tools that unlock substantial increases to productivity' -- is clear and specific to their domain, identifying what the company does and for whom [3]. Core values of integrity, humility, drive, and intelligence are well-articulated. However, the mission reads as a technology company objective rather than a deeply purposeful cause that connects to something bigger than business outcomes. Community Impact (1/2): The company's rapid expansion creates employment (8,200+ employees) across communities, and the 'Giving Back: Building and Bettering Communities' initiative demonstrates community engagement. The company serves blue-collar workers and contractors in the construction industry [3]. Employee Retention (0/2): No publicly available retention or turnover data. The company has grown rapidly from startup to 8,200+ employees, which makes retention assessment difficult. Insider Buying (1/2): CEO Jabbok Schlacks disclosed 16.2% beneficial ownership following open-market purchases in June 2026, signaling personal conviction [5]. However, the founder controlling ~81% of voting power through a dual-class structure limits the meaningfulness of insider ownership signals as a trust indicator.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268% is well above the 70% target but below the 300% floor, scoring 0.139 [6]. ROE of 1.80% is far below the 15% target, scoring just 0.12 (with 2x weight) [6]. Revenue growth YoY of 38% scores maximum (1.0) -- exceptional for a company of this scale [1][2]. Forward P/E of 35.13 is between the 20 target and 60 floor, scoring 0.622 [6]. Profit margin of 0.47% ($20M profit on $4.65B revenue) scores near-zero (0.024). Forward PEG of 1.76 scores well at 0.62 (with 2x weight) given strong growth expectations [6]. Revenue growth 5yr CAGR unavailable due to limited public company history (IPO Jan 2026). Cash of $409M against $4.21B total debt creates significant leverage risk, though adjusted Core EBITDA of $399M in Q1 2026 (+38% YoY) shows operational cash flow generation [1][2]. IPO raised $706M net cash. Stock price ~$16.06 with 3.22M avg daily volume yields ~$51.7M daily liquidity, passing the $1M floor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EquipmentShare under founders Jabbok and Willy Schlacks demonstrates some infinite game characteristics -- the vision of digitizing construction and the T3 platform represent long-term capability building beyond quarterly results. However, the Umibozu Research short-seller report alleging founder self-dealing through undisclosed related parties (EZ Equipment Zone, Bevel Financial, Armada Fleet Management) raises serious governance concerns. The dual-class control structure and securities law investigations undermine the trust and accountability foundations that Sinek considers essential.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EquipmentShare's mission of 'enabling the construction industry with tools that unlock substantial increases to productivity' has genuine intentionality and has guided the company from startup to IPO [3]. CEO Jabbok Schlacks positions the company as 'a data company that happens to rent equipment,' connecting daily operations to a broader vision of construction industry transformation. However, self-dealing allegations from the Umibozu report, if substantiated, would undermine the authenticity of the cause, suggesting profit extraction rather than stakeholder service [7].</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Umibozu Research short-seller report alleges founders orchestrated a self-dealing scheme through undisclosed related parties, extracting at least $77M in fees through the OWN Program while concealing relationships from investors [7]. Multiple securities law investigations (Kirby McInerney, Pomerantz, Johnson Fistel, Lowey Dannenberg) are underway [8]. Founders controlling ~81% of voting power through a dual-class structure limits board and shareholder accountability. These allegations, if true, represent a fundamental breach of organizational trust that Sinek considers the foundation of infinite game playing.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EquipmentShare competes against United Rentals ($17B revenue) and Sunbelt Rentals and has used their scale as motivation to differentiate through technology rather than simply competing on fleet size. The T3 platform represents a strategic response to larger rivals' advantages -- improving through technology innovation rather than trying to win on traditional terms [3]. CEO Schlacks' positioning as 'a data company that happens to rent equipment' reframes the competitive dynamic as self-improvement rather than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evolution from a peer-to-peer equipment sharing startup (2014) to a technology-enabled rental and services platform with 407 locations and the T3 operating system represents meaningful strategic evolution [3]. The company adapted its original sharing-economy model to a more traditional rental business enhanced by proprietary technology, demonstrating willingness to pivot the business model in service of the broader construction productivity mission.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rapid growth and January 2026 IPO at $24.50/share required execution, the self-dealing allegations from the Umibozu short report -- founders allegedly extracting $77M through undisclosed related parties -- undermine any narrative of principled leadership [7]. The stock has declined 34% from IPO price ($24.50 to $16.06). The $500M buyback authorization could reflect either confidence or share price defense. Multiple securities law investigations remain unresolved, creating significant uncertainty about leadership integrity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EquipmentShare offers compelling exposure to the digitization of the massive and still-analog US construction equipment rental market through a proprietary technology platform (T3) and exceptional revenue execution (38% YoY growth to $989M quarterly, $4.65B TTM) [1][2]. The company raised full-year 2026 revenue guidance to $5.15-$5.58B and adjusted Core EBITDA guidance to $1.88-$2.00B, demonstrating continued momentum. Adjusted Core EBITDA of $399M in Q1 2026 (+38% YoY) with mature rental location adjusted EBITDA margin of 55% highlights strong unit economics [1]. The $500M buyback authorization and 12-analyst 'Buy' consensus with $34.50 average price target (115% upside) reflect institutional confidence in the growth trajectory [6].</w:t>
      </w:r>
    </w:p>
    <w:p>
      <w:pPr>
        <w:spacing w:after="120"/>
      </w:pPr>
      <w:r>
        <w:rPr>
          <w:rFonts w:ascii="Calibri" w:hAnsi="Calibri"/>
          <w:b w:val="0"/>
          <w:color w:val="3A4A28"/>
          <w:sz w:val="20"/>
        </w:rPr>
        <w:t>Significant risks cloud the thesis. The Umibozu Research short report published June 24, 2026 alleges founder self-dealing through undisclosed related parties (EZ Equipment Zone, Bevel Financial, Armada Fleet Management), claiming at least $77M in fees were extracted through the OWN Program while concealing these relationships from IPO investors [7]. Multiple securities law firms (Kirby McInerney, Pomerantz, Johnson Fistel, Lowey Dannenberg) have initiated investigations [8]. D/E of 268% with $4.21B total debt against $409M cash creates meaningful leverage risk in a cyclical construction industry. The stock has fallen 34% from its January 2026 IPO price of $24.50 to $16.06. Founders controlling ~81% of voting power through a dual-class structure limits governance accountability. Net profit margin of 0.47% leaves virtually no margin of safety, and free cash flow remains deeply negative (-$746M TTM) due to heavy fleet investment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rapid location expansion (22 opened in Q1 2026, reaching 407) and raised rental growth guidance to 33% for FY2026 demonstrate sustained market share gains in the $65B US rental market [1][2]</w:t>
      </w:r>
    </w:p>
    <w:p>
      <w:pPr>
        <w:spacing w:before="40" w:after="40"/>
        <w:ind w:left="283"/>
      </w:pPr>
      <w:r>
        <w:rPr>
          <w:rFonts w:ascii="Calibri" w:hAnsi="Calibri"/>
          <w:b/>
          <w:color w:val="4A6B25"/>
          <w:sz w:val="20"/>
        </w:rPr>
        <w:t xml:space="preserve">2. </w:t>
      </w:r>
      <w:r>
        <w:rPr>
          <w:rFonts w:ascii="Calibri" w:hAnsi="Calibri"/>
          <w:b w:val="0"/>
          <w:color w:val="3A4A28"/>
          <w:sz w:val="20"/>
        </w:rPr>
        <w:t>Resolution of Umibozu self-dealing allegations and securities law investigations could remove a major stock overhang and restore investor confidence [7][8]</w:t>
      </w:r>
    </w:p>
    <w:p>
      <w:pPr>
        <w:spacing w:before="40" w:after="40"/>
        <w:ind w:left="283"/>
      </w:pPr>
      <w:r>
        <w:rPr>
          <w:rFonts w:ascii="Calibri" w:hAnsi="Calibri"/>
          <w:b/>
          <w:color w:val="4A6B25"/>
          <w:sz w:val="20"/>
        </w:rPr>
        <w:t xml:space="preserve">3. </w:t>
      </w:r>
      <w:r>
        <w:rPr>
          <w:rFonts w:ascii="Calibri" w:hAnsi="Calibri"/>
          <w:b w:val="0"/>
          <w:color w:val="3A4A28"/>
          <w:sz w:val="20"/>
        </w:rPr>
        <w:t>Profitability inflection -- EPS loss narrowed from -$0.77 to -$0.20 in Q1 2026, with 3-year EPS growth forecast of 273% signaling a path to meaningful earnings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Umibozu Research short report alleges $77M in founder self-dealing through undisclosed related parties, with multiple securities law firm investigations underway creating significant litigation and governance uncertainty [7][8]</w:t>
      </w:r>
    </w:p>
    <w:p>
      <w:pPr>
        <w:spacing w:before="40" w:after="40"/>
        <w:ind w:left="283"/>
      </w:pPr>
      <w:r>
        <w:rPr>
          <w:rFonts w:ascii="Calibri" w:hAnsi="Calibri"/>
          <w:b/>
          <w:color w:val="4A6B25"/>
          <w:sz w:val="20"/>
        </w:rPr>
        <w:t xml:space="preserve">2. </w:t>
      </w:r>
      <w:r>
        <w:rPr>
          <w:rFonts w:ascii="Calibri" w:hAnsi="Calibri"/>
          <w:b w:val="0"/>
          <w:color w:val="3A4A28"/>
          <w:sz w:val="20"/>
        </w:rPr>
        <w:t>Extreme leverage with D/E of 268% and $4.21B total debt against $409M cash creates financial fragility in a cyclical construction industry vulnerable to economic downturns [6]</w:t>
      </w:r>
    </w:p>
    <w:p>
      <w:pPr>
        <w:spacing w:before="40" w:after="40"/>
        <w:ind w:left="283"/>
      </w:pPr>
      <w:r>
        <w:rPr>
          <w:rFonts w:ascii="Calibri" w:hAnsi="Calibri"/>
          <w:b/>
          <w:color w:val="4A6B25"/>
          <w:sz w:val="20"/>
        </w:rPr>
        <w:t xml:space="preserve">3. </w:t>
      </w:r>
      <w:r>
        <w:rPr>
          <w:rFonts w:ascii="Calibri" w:hAnsi="Calibri"/>
          <w:b w:val="0"/>
          <w:color w:val="3A4A28"/>
          <w:sz w:val="20"/>
        </w:rPr>
        <w:t>Dual-class voting structure gives founders ~81% control, limiting board accountability and minority shareholder protections; 34% decline from $24.50 IPO price reflects market skepticism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Equipment rental for construction is a fundamentally physical-world operation -- heavy machinery must be physically delivered, maintained, operated, and serviced on job sites across 407 locations nationwide [3][4]. AI cannot substitute the core service: getting a bulldozer, crane, or excavator to a construction site and keeping it running. The business requires physical inventory, fleet logistics, on-the-ground service personnel, and customer relationships that operate entirely outside AI's substitution frontier. Construction industry digitization is still early, creating runway for technology adoption rather than threat. AI Opportunity (1/1): EquipmentShare is actively deploying AI as a competitive advantage through its T3 platform -- AI-powered safety cameras, telematics-based predictive maintenance, and data analytics for fleet optimization streaming billions of data points daily [3][4]. The company positions itself as a technology leader in a traditionally analog industry, earning 'Fleet Management Technology Company of the Year' recognition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EquipmentShare Q1 2026 Earnings Release -- Revenue $989M (+38% YoY) and Raised Full-Year Guidance, May 2026</w:t>
      </w:r>
    </w:p>
    <w:p>
      <w:pPr>
        <w:spacing w:before="20" w:after="20"/>
        <w:ind w:left="170"/>
      </w:pPr>
      <w:r>
        <w:rPr>
          <w:rFonts w:ascii="Calibri" w:hAnsi="Calibri"/>
          <w:b/>
          <w:color w:val="4A6B25"/>
          <w:sz w:val="15"/>
        </w:rPr>
        <w:t xml:space="preserve">2. </w:t>
      </w:r>
      <w:r>
        <w:rPr>
          <w:rFonts w:ascii="Calibri" w:hAnsi="Calibri"/>
          <w:b w:val="0"/>
          <w:color w:val="3A4A28"/>
          <w:sz w:val="17"/>
        </w:rPr>
        <w:t>EquipmentShare Full-Year 2025 Financial Results -- Revenue $4.379B, March 2026</w:t>
      </w:r>
    </w:p>
    <w:p>
      <w:pPr>
        <w:spacing w:before="20" w:after="20"/>
        <w:ind w:left="170"/>
      </w:pPr>
      <w:r>
        <w:rPr>
          <w:rFonts w:ascii="Calibri" w:hAnsi="Calibri"/>
          <w:b/>
          <w:color w:val="4A6B25"/>
          <w:sz w:val="15"/>
        </w:rPr>
        <w:t xml:space="preserve">3. </w:t>
      </w:r>
      <w:r>
        <w:rPr>
          <w:rFonts w:ascii="Calibri" w:hAnsi="Calibri"/>
          <w:b w:val="0"/>
          <w:color w:val="3A4A28"/>
          <w:sz w:val="17"/>
        </w:rPr>
        <w:t>EquipmentShare.com -- About Us, T3 Platform, Culture, and Mission, equipmentshare.com,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Wikipedia/AI Software Report -- EquipmentShare AI Features, Fleet Management Technology Award, 2025-2026</w:t>
      </w:r>
    </w:p>
    <w:p>
      <w:pPr>
        <w:spacing w:before="20" w:after="20"/>
        <w:ind w:left="170"/>
      </w:pPr>
      <w:r>
        <w:rPr>
          <w:rFonts w:ascii="Calibri" w:hAnsi="Calibri"/>
          <w:b/>
          <w:color w:val="4A6B25"/>
          <w:sz w:val="15"/>
        </w:rPr>
        <w:t xml:space="preserve">5. </w:t>
      </w:r>
      <w:r>
        <w:rPr>
          <w:rFonts w:ascii="Calibri" w:hAnsi="Calibri"/>
          <w:b w:val="0"/>
          <w:color w:val="3A4A28"/>
          <w:sz w:val="17"/>
        </w:rPr>
        <w:t>TradingView -- CEO Jabbok Schlacks 16.2% Beneficial Ownership Disclosure (Form 4), June 2026</w:t>
      </w:r>
    </w:p>
    <w:p>
      <w:pPr>
        <w:spacing w:before="20" w:after="20"/>
        <w:ind w:left="170"/>
      </w:pPr>
      <w:r>
        <w:rPr>
          <w:rFonts w:ascii="Calibri" w:hAnsi="Calibri"/>
          <w:b/>
          <w:color w:val="4A6B25"/>
          <w:sz w:val="15"/>
        </w:rPr>
        <w:t xml:space="preserve">6. </w:t>
      </w:r>
      <w:r>
        <w:rPr>
          <w:rFonts w:ascii="Calibri" w:hAnsi="Calibri"/>
          <w:b w:val="0"/>
          <w:color w:val="3A4A28"/>
          <w:sz w:val="17"/>
        </w:rPr>
        <w:t>Stock Analysis -- EQPT Statistics, Valuation, and Analyst Consensus,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Umibozu Research -- EquipmentShare Short Report: Alleged Self-Dealing through OWN Program and Undisclosed Related Parties, June 24, 2026</w:t>
      </w:r>
    </w:p>
    <w:p>
      <w:pPr>
        <w:spacing w:before="20" w:after="20"/>
        <w:ind w:left="170"/>
      </w:pPr>
      <w:r>
        <w:rPr>
          <w:rFonts w:ascii="Calibri" w:hAnsi="Calibri"/>
          <w:b/>
          <w:color w:val="4A6B25"/>
          <w:sz w:val="15"/>
        </w:rPr>
        <w:t xml:space="preserve">8. </w:t>
      </w:r>
      <w:r>
        <w:rPr>
          <w:rFonts w:ascii="Calibri" w:hAnsi="Calibri"/>
          <w:b w:val="0"/>
          <w:color w:val="3A4A28"/>
          <w:sz w:val="17"/>
        </w:rPr>
        <w:t>BusinessWire/PRNewswire -- Securities Law Investigation Announcements (Kirby McInerney, Pomerantz, Johnson Fistel, Lowey Dannenberg),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