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ET</w:t>
      </w:r>
      <w:r>
        <w:rPr>
          <w:rFonts w:ascii="Calibri" w:hAnsi="Calibri"/>
          <w:b/>
          <w:color w:val="1A2010"/>
          <w:sz w:val="40"/>
        </w:rPr>
        <w:t xml:space="preserve">  Energy Transfer LP</w:t>
      </w:r>
    </w:p>
    <w:p>
      <w:pPr>
        <w:spacing w:after="120"/>
      </w:pPr>
      <w:r>
        <w:rPr>
          <w:rFonts w:ascii="Calibri" w:hAnsi="Calibri"/>
          <w:b/>
          <w:color w:val="6E8450"/>
          <w:sz w:val="18"/>
        </w:rPr>
        <w:t>DIVIDEND SLEEVE · 2026-08-16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Energy Transfer LP owns and operates approximately 140,000 miles of pipeline and associated midstream infrastructure across NGL &amp; refined products, crude oil, interstate gas, intrastate gas, and midstream gathering segments, headquartered in Dallas, Texas. Co-CEOs Thomas E. Long and Marshall S. McCrea III run day-to-day operations under Executive Chairman and founder Kelcy Warren. The company suspended development of its Lake Charles LNG export project in late 2025 to redirect capital toward a growing natural gas pipeline backlog, including the Hugh Brinson Pipeline, Mustang Draw I, and a $5.6B Desert Southwest expansion of the Transwestern Pipeline.</w:t>
      </w:r>
    </w:p>
    <w:p>
      <w:r>
        <w:rPr>
          <w:rFonts w:ascii="Calibri" w:hAnsi="Calibri"/>
          <w:b/>
          <w:color w:val="6E8450"/>
          <w:sz w:val="18"/>
        </w:rPr>
        <w:t>16,248 Employees · https://www.energytransfer.com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Energy Transfer delivered record operational volumes in Q2 2026 across NGL transportation (+13%), NGL exports (+25%), crude oil transportation (+4%), and midstream gathering (+4%), with major growth projects (Hugh Brinson Pipeline, Mustang Draw I) running ahead of schedule [1]. The company also made a disciplined strategic reallocation, suspending Lake Charles LNG development to focus capital on its gas pipeline backlog [2] — meaningful execution, though within its existing core business rather than a transformative pivot. AI Deployment (0/2): No evidence of AI-powered products or quantified AI-driven savings was found; Glassdoor reviews specifically note that 'long-standing routines frequently take precedence over more efficient or updated processes, making it difficult to drive meaningful improvement or innovation' [3]. Market Share (2/2): With ~140,000 miles of pipeline, Energy Transfer is one of the largest midstream operators in the U.S., and record segment volumes plus 25% YoY growth in NGL exports demonstrate active share gains in a scale-driven business [1]. Product Pipeline (2/2): Named, capital-quantified growth projects with specific capacity targets — the $5.6B Transwestern Desert Southwest expansion (up to 2.3 Bcf/d, upsized to a 48-inch pipeline) plus $5.6-5.9B of 2026 growth capex with $5B+/year visibility through 2029 [2][4]. R&amp;D Intensity (0/1): Midstream pipeline operators do not typically carry meaningful R&amp;D budgets, and no evidence of above-industry technology investment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Energy Transfer's stated mission — 'offering a distinct opportunity for investors to participate in the attractive growth of the energy sector' — is explicitly framed around investor returns rather than any purpose beyond profit, placing it at the boilerplate/generic tier [5]. Community Impact (1/2): Executive Chairman Kelcy Warren has funded specific Dallas community programs including Klyde Warren Park ($10M plus a $20M expansion gift) and the West Dallas Youth Academy partnership with the Texas Rangers since 2018, though these blend personal and corporate philanthropy and are concentrated in one city rather than reflecting company-wide programs [6]. Employee Retention (0/2): Glassdoor reviews describe leadership as 'very top down,' a culture that 'can feel like a good-old-boys network' with 'inconsistent treatment of employees across teams' [3]. Insider Buying (0/2): No evidence of net insider buying by executives in the trailing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Energy Transfer clears growth targets comfortably: TTM revenue growth of ~13% and 5-year revenue CAGR of 15.57% both exceed the 10% target, and Forward P/E of 13.23x is well under the 20x target [7]. ROE of 12.62% sits just below the 15% target, while profit margin of 5.82% (typical for a low-margin, high-volume midstream pass-through business) falls well short of the 20% target. D/E of ~190% (typical for a capital-intensive MLP) is above the 70% target but well inside the 300% floor. On dividend metrics, the net-income-based payout ratio of 112% floors at zero — though this significantly understates cash coverage, since MLP distributions are conventionally covered by distributable cash flow (DCF) rather than net income, and Q2 2026 alone generated $2.6B of DCF against a modest quarterly per-unit distribution [1]. The distribution has grown for 19 consecutive quarters since the October 2020 COVID-era 50% cut, and management targets a sustainable 3-5% annual growth rate going forward — a more conservative and representative figure than the base-effect-inflated recovery CAGR off the 2020 trough [8]. Consecutive years paid (~29, since 1996 inception, with one cut but no full suspension) scores near-perfect at 2x weight. Liquidity clears the floor easily: ~11M average daily volume x $20.78 stock price = ~$229M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Energy Transfer is built and run to maximize investor distributions and pipeline scale, not around an idealistic cause. Its explicit investor-return mission statement, a 'top-down, good-old-boys' internal culture per employee reviews, and an aggressive legal strategy of suing environmental critics (winning a $667M jury verdict against Greenpeace and pursuing $300M more) rather than addressing the underlying environmental record (a pipeline spill roughly every nine days, $100M+ in fines) place this firmly in Sinek's finite-player category.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Energy Transfer's own stated mission — 'offering a distinct opportunity for investors to participate in the attractive growth of the energy sector' — is explicitly a financial-returns statement with no service-oriented or idealistic component [5]. The company's pattern of SLAPP litigation against Greenpeace (a $667M North Dakota jury verdict plus an active $300M suit, and a parallel Dutch case) to silence environmental criticism is the opposite of an inclusive, service-oriented cause [9].</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Energy Transfer's leadership as 'very top down' with 'professionalism and communication at higher levels' needing improvement, a culture that 'can feel like a good-old-boys network,' and 'inconsistent treatment of employees across teams' — clear indicators of a lower-trust organizational environment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commentary from Energy Transfer management centers on volume records, project execution, and scale rather than acknowledging strengths of competitors like Kinder Morgan, Williams, or Enterprise Products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Suspending the Lake Charles LNG export project in late 2025 to redirect capital toward the growing natural gas pipeline backlog shows some willingness to reallocate away from a previously prioritized initiative [2]. This is portfolio optimization within the existing midstream business model, however, not a transformative reinvention of what the company is.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Sustaining $5B+ in annual growth capex through 2029 reflects confidence in the business, but no evidence points to leadership sacrificing near-term performance for a principled long-term cause. Instead, the company's playbook of aggressive litigation against critics — rather than addressing root causes behind $100M+ in environmental fines and a pipeline spill roughly every nine days — reflects protecting the business and its leadership from accountability rather than courageous, cause-driven leadership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Energy Transfer offers investors a 6.5%+ distribution yield backed by a scaled, diversified midstream asset base (~140,000 miles of pipeline) generating record volumes across NGL, crude, and gas segments. Q2 2026 adjusted EBITDA rose 31% YoY to $5.1B with $2.6B of distributable cash flow, prompting management to raise full-year 2026 EBITDA guidance by $500M to $18.8-19.1B [1]. A committed $5.6-5.9B 2026 growth capital program, with visibility to sustain $5B+ annual spend through 2029, is backed by specific, named, ahead-of-schedule projects including the Hugh Brinson Pipeline, Mustang Draw I, and the $5.6B Transwestern Desert Southwest expansion — providing unusually strong multi-year revenue visibility for the sector [2][4]. The distribution has grown for 19 consecutive quarters since the 2020 cut, and 5-year revenue CAGR of 15.57% comfortably clears the IOWN growth target at a modest 13.23x forward earnings multiple.</w:t>
      </w:r>
    </w:p>
    <w:p>
      <w:pPr>
        <w:spacing w:after="120"/>
      </w:pPr>
      <w:r>
        <w:rPr>
          <w:rFonts w:ascii="Calibri" w:hAnsi="Calibri"/>
          <w:b w:val="0"/>
          <w:color w:val="3A4A28"/>
          <w:sz w:val="20"/>
        </w:rPr>
        <w:t>The bear case is less about the balance sheet and more about governance and culture. Energy Transfer's own mission statement frames the company explicitly around investor returns with no articulated purpose beyond growth, and Glassdoor reviews describe a 'top-down, good-old-boys' culture where 'long-standing routines... take precedence over... innovation' [3][5]. More seriously, the company has a well-documented environmental and legal track record: fines exceeding $100M for environmental offenses, criminal charges, a pipeline spill roughly every nine days, and an aggressive SLAPP litigation strategy against Greenpeace that produced a $667M jury verdict with a further $300M suit and a parallel Dutch case still pending [9]. The 112% net-income-based payout ratio, while cushioned by strong DCF coverage, signals thin GAAP earnings support for the distribution, and D/E near 190% reflects the leverage inherent in a large-scale MLP. Investors comfortable with the yield and growth capital story must also be comfortable with a governance and community-relations profile that scores poorly on IOWN's Inspiration and Infinite Game dimensions.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on-schedule delivery of the $5.6-5.9B 2026 growth capital program, particularly the Hugh Brinson Pipeline, Mustang Draw I, and the $5.6B Desert Southwest expansion, converting committed backlog into contracted EBITDA growth through 2029 [2][4]</w:t>
      </w:r>
    </w:p>
    <w:p>
      <w:pPr>
        <w:spacing w:before="40" w:after="40"/>
        <w:ind w:left="283"/>
      </w:pPr>
      <w:r>
        <w:rPr>
          <w:rFonts w:ascii="Calibri" w:hAnsi="Calibri"/>
          <w:b/>
          <w:color w:val="4A6B25"/>
          <w:sz w:val="20"/>
        </w:rPr>
        <w:t xml:space="preserve">2. </w:t>
      </w:r>
      <w:r>
        <w:rPr>
          <w:rFonts w:ascii="Calibri" w:hAnsi="Calibri"/>
          <w:b w:val="0"/>
          <w:color w:val="3A4A28"/>
          <w:sz w:val="20"/>
        </w:rPr>
        <w:t>Sustained NGL export growth (+25% YoY in Q2 2026) as global demand for U.S. NGLs and LNG-adjacent infrastructure continues, supporting further guidance raises beyond the $18.8-19.1B FY2026 EBITDA target [1]</w:t>
      </w:r>
    </w:p>
    <w:p>
      <w:pPr>
        <w:spacing w:before="40" w:after="40"/>
        <w:ind w:left="283"/>
      </w:pPr>
      <w:r>
        <w:rPr>
          <w:rFonts w:ascii="Calibri" w:hAnsi="Calibri"/>
          <w:b/>
          <w:color w:val="4A6B25"/>
          <w:sz w:val="20"/>
        </w:rPr>
        <w:t xml:space="preserve">3. </w:t>
      </w:r>
      <w:r>
        <w:rPr>
          <w:rFonts w:ascii="Calibri" w:hAnsi="Calibri"/>
          <w:b w:val="0"/>
          <w:color w:val="3A4A28"/>
          <w:sz w:val="20"/>
        </w:rPr>
        <w:t>Continued 3-5% annual distribution growth extending the current 19-quarter increase streak, gradually rebuilding the yield-plus-growth investment case that was interrupted by the 2020 distribution cut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Environmental and legal track record — $100M+ in fines, criminal charges, a pipeline spill roughly every nine days, and an active SLAPP litigation campaign against Greenpeace — creates ongoing regulatory, reputational, and community-relations risk that could intensify under stricter future oversight [9]</w:t>
      </w:r>
    </w:p>
    <w:p>
      <w:pPr>
        <w:spacing w:before="40" w:after="40"/>
        <w:ind w:left="283"/>
      </w:pPr>
      <w:r>
        <w:rPr>
          <w:rFonts w:ascii="Calibri" w:hAnsi="Calibri"/>
          <w:b/>
          <w:color w:val="4A6B25"/>
          <w:sz w:val="20"/>
        </w:rPr>
        <w:t xml:space="preserve">2. </w:t>
      </w:r>
      <w:r>
        <w:rPr>
          <w:rFonts w:ascii="Calibri" w:hAnsi="Calibri"/>
          <w:b w:val="0"/>
          <w:color w:val="3A4A28"/>
          <w:sz w:val="20"/>
        </w:rPr>
        <w:t>Net-income-based payout ratio of 112% signals the per-unit distribution is not covered by GAAP earnings, and while DCF coverage is healthier, any downturn in commodity volumes or margins would pressure the sustainability of continued distribution increases [7]</w:t>
      </w:r>
    </w:p>
    <w:p>
      <w:pPr>
        <w:spacing w:before="40" w:after="40"/>
        <w:ind w:left="283"/>
      </w:pPr>
      <w:r>
        <w:rPr>
          <w:rFonts w:ascii="Calibri" w:hAnsi="Calibri"/>
          <w:b/>
          <w:color w:val="4A6B25"/>
          <w:sz w:val="20"/>
        </w:rPr>
        <w:t xml:space="preserve">3. </w:t>
      </w:r>
      <w:r>
        <w:rPr>
          <w:rFonts w:ascii="Calibri" w:hAnsi="Calibri"/>
          <w:b w:val="0"/>
          <w:color w:val="3A4A28"/>
          <w:sz w:val="20"/>
        </w:rPr>
        <w:t>Elevated leverage (D/E near 190%) typical of large-scale MLPs limits financial flexibility if a sustained energy price downturn or higher-for-longer interest rates increase refinancing costs across the ~$5B/year growth capital program [4][7]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Energy Transfer's business — owning and operating ~140,000 miles of physical pipeline infrastructure under long-term contracts — is essential energy infrastructure that AI cannot substitute for or disrupt; the value is in physical transportation and storage assets with regulatory approvals and rights-of-way that took decades to assemble [1]. Record segment volumes and a multi-year, multi-billion-dollar committed growth capital program (including new gas pipeline capacity for AI-driven data center power demand) suggest AI adoption elsewhere in the economy is a net demand tailwind for Energy Transfer's gas transportation business, not a threat. AI Opportunity (0/1): No evidence was found of quantified AI-related revenue, cost savings, or AI-powered product offerings at Energy Transfer — unlike some sector peers, the company has not disclosed a specific AI value-creation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Energy Transfer Reports Second Quarter 2026 Results — StockTitan, BigGo Finance, GuruFocus,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Energy Transfer Announces Suspension of Development of Lake Charles LNG — Energy Transfer Investor Relations, 2025</w:t>
      </w:r>
    </w:p>
    <w:p>
      <w:pPr>
        <w:spacing w:before="20" w:after="20"/>
        <w:ind w:left="170"/>
      </w:pPr>
      <w:r>
        <w:rPr>
          <w:rFonts w:ascii="Calibri" w:hAnsi="Calibri"/>
          <w:b/>
          <w:color w:val="4A6B25"/>
          <w:sz w:val="15"/>
        </w:rPr>
        <w:t xml:space="preserve">3. </w:t>
      </w:r>
      <w:r>
        <w:rPr>
          <w:rFonts w:ascii="Calibri" w:hAnsi="Calibri"/>
          <w:b w:val="0"/>
          <w:color w:val="3A4A28"/>
          <w:sz w:val="17"/>
        </w:rPr>
        <w:t>Energy Transfer Reviews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Energy Transfer Increases Transwestern Desert Southwest Expansion Capacity — Company press release / Wikipedia, 2026</w:t>
      </w:r>
    </w:p>
    <w:p>
      <w:pPr>
        <w:spacing w:before="20" w:after="20"/>
        <w:ind w:left="170"/>
      </w:pPr>
      <w:r>
        <w:rPr>
          <w:rFonts w:ascii="Calibri" w:hAnsi="Calibri"/>
          <w:b/>
          <w:color w:val="4A6B25"/>
          <w:sz w:val="15"/>
        </w:rPr>
        <w:t xml:space="preserve">5. </w:t>
      </w:r>
      <w:r>
        <w:rPr>
          <w:rFonts w:ascii="Calibri" w:hAnsi="Calibri"/>
          <w:b w:val="0"/>
          <w:color w:val="3A4A28"/>
          <w:sz w:val="17"/>
        </w:rPr>
        <w:t>Energy Transfer Equity Mission, Vision &amp; Values — Comparably,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Kelcy Warren's Leadership Philosophy and Community Investment — Fortune Herald, Los Angeles Post-Examiner, Energy Transfer Community Investment page, 2025-2026</w:t>
      </w:r>
    </w:p>
    <w:p>
      <w:pPr>
        <w:spacing w:before="20" w:after="20"/>
        <w:ind w:left="170"/>
      </w:pPr>
      <w:r>
        <w:rPr>
          <w:rFonts w:ascii="Calibri" w:hAnsi="Calibri"/>
          <w:b/>
          <w:color w:val="4A6B25"/>
          <w:sz w:val="15"/>
        </w:rPr>
        <w:t xml:space="preserve">7. </w:t>
      </w:r>
      <w:r>
        <w:rPr>
          <w:rFonts w:ascii="Calibri" w:hAnsi="Calibri"/>
          <w:b w:val="0"/>
          <w:color w:val="3A4A28"/>
          <w:sz w:val="17"/>
        </w:rPr>
        <w:t>Energy Transfer (ET) Statistics, Valuation, D/E, ROE, Forward P/E, Revenue Growth — StockAnalysis.com, GuruFocus, WallStreetZen, accessed August 2026</w:t>
      </w:r>
    </w:p>
    <w:p>
      <w:pPr>
        <w:spacing w:before="20" w:after="20"/>
        <w:ind w:left="170"/>
      </w:pPr>
      <w:r>
        <w:rPr>
          <w:rFonts w:ascii="Calibri" w:hAnsi="Calibri"/>
          <w:b/>
          <w:color w:val="4A6B25"/>
          <w:sz w:val="15"/>
        </w:rPr>
        <w:t xml:space="preserve">8. </w:t>
      </w:r>
      <w:r>
        <w:rPr>
          <w:rFonts w:ascii="Calibri" w:hAnsi="Calibri"/>
          <w:b w:val="0"/>
          <w:color w:val="3A4A28"/>
          <w:sz w:val="17"/>
        </w:rPr>
        <w:t>Energy Transfer Distribution History and 3-5% Growth Target — Energy Transfer Investor Relations, TipRanks, accessed August 2026</w:t>
      </w:r>
    </w:p>
    <w:p>
      <w:pPr>
        <w:spacing w:before="20" w:after="20"/>
        <w:ind w:left="170"/>
      </w:pPr>
      <w:r>
        <w:rPr>
          <w:rFonts w:ascii="Calibri" w:hAnsi="Calibri"/>
          <w:b/>
          <w:color w:val="4A6B25"/>
          <w:sz w:val="15"/>
        </w:rPr>
        <w:t xml:space="preserve">9. </w:t>
      </w:r>
      <w:r>
        <w:rPr>
          <w:rFonts w:ascii="Calibri" w:hAnsi="Calibri"/>
          <w:b w:val="0"/>
          <w:color w:val="3A4A28"/>
          <w:sz w:val="17"/>
        </w:rPr>
        <w:t>Energy Transfer (ET) Faces Greenpeace Lawsuit in Dutch Court; Energy Transfer Racked Up $100 Million in Fines — GuruFocus, Inside Climate News, Greenpeace USA,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