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FBP</w:t>
      </w:r>
      <w:r>
        <w:rPr>
          <w:rFonts w:ascii="Calibri" w:hAnsi="Calibri"/>
          <w:b/>
          <w:color w:val="1A2010"/>
          <w:sz w:val="40"/>
        </w:rPr>
        <w:t xml:space="preserve">  First BanCorp.</w:t>
      </w:r>
    </w:p>
    <w:p>
      <w:pPr>
        <w:spacing w:after="120"/>
      </w:pPr>
      <w:r>
        <w:rPr>
          <w:rFonts w:ascii="Calibri" w:hAnsi="Calibri"/>
          <w:b/>
          <w:color w:val="6E8450"/>
          <w:sz w:val="18"/>
        </w:rPr>
        <w:t>DIVIDEND SLEEVE · 2026-07-29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NYSE · United States</w:t>
      </w:r>
    </w:p>
    <w:p>
      <w:pPr>
        <w:spacing w:after="80"/>
      </w:pPr>
      <w:r>
        <w:rPr>
          <w:rFonts w:ascii="Calibri" w:hAnsi="Calibri"/>
          <w:b w:val="0"/>
          <w:color w:val="3A4A28"/>
          <w:sz w:val="20"/>
        </w:rPr>
        <w:t>First BanCorp is a diversified financial holding company headquartered in San Juan, Puerto Rico. Through its subsidiary FirstBank, it provides personal, commercial, and corporate banking services across Puerto Rico, the U.S. Virgin Islands, and Florida. Founded in 1948, the company operates through six segments including Commercial and Corporate Banking, Consumer Banking, Mortgage Banking, Treasury and Investments, United States Operations, and Virgin Islands Operations.</w:t>
      </w:r>
    </w:p>
    <w:p>
      <w:r>
        <w:rPr>
          <w:rFonts w:ascii="Calibri" w:hAnsi="Calibri"/>
          <w:b/>
          <w:color w:val="6E8450"/>
          <w:sz w:val="18"/>
        </w:rPr>
        <w:t>3,500 Employees · https://www.1firstbank.com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BanCorp has steadily expanded from its Puerto Rico base into Florida and the USVI, growing earnings 21.5% over the last year and achieving record pretax preprovision income in Q2 2026 [1]. However, this is organic market expansion, not product innovation or business model transformation. AI Deployment (0/2): CEO has referenced AI automation and digital transformation as strategic priorities, but no AI products are shipping to customers and no quantified AI-driven savings have been reported [1][2]. Market Share (1/2): FirstBank is one of the leading banks in Puerto Rico, a market with limited competition and strong customer loyalty. The bank is expanding its Florida presence but remains a small player in the broader U.S. banking market [4]. Product Pipeline (1/2): Expansion into Florida commercial lending, growth in Puerto Rico commercial loan demand, and the upcoming CFO transition from Orlando Berges to Said Ortiz suggest continued operational momentum, but no specific next-generation products announced [1][2]. R&amp;D Intensity (0/1): Banks do not have meaningful R&amp;D budgets. IT spending is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First BanCorp describes itself as a community-focused bank serving Puerto Rico, USVI, and Florida. Founded in 1948, the 78-year history suggests institutional purpose, but no distinctive mission or purpose statement distinguishing it from other regional banks was identified [5]. Community Impact (1/2): Published inaugural ESG report in 2022 covering governance, community engagement, diversity, and environmental stewardship [5]. Operations in Puerto Rico — hurricane-prone and economically challenged — provide banking access to an underserved U.S. territory. General corporate ESG framework rather than distinctive community programs with specific dollar amounts. Employee Retention (1/2): Orderly CFO succession from long-serving Orlando Berges to internal successor Said Ortiz demonstrates organizational stability and internal talent development [1]. Long tenured leadership suggests adequate retention, though no specific metrics published. Insider Buying (0/2): Zero insider buys and 22 insider sells over the past year, with total insider selling of approximately $1.9M [3]. Net insider selling is a negative signal that leadership is reducing personal exposure.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First BanCorp demonstrates excellent financial fundamentals: D/E of just 10% (perfect score), ROE of 18.03% above the 15% target, profit margin of 37.7% nearly double the 20% target, and forward P/E of ~12.7 well below the 20 target [3]. Payout ratio of 33.76% is below the 40% target, demonstrating conservative dividend coverage [3]. Dividend growth 5yr CAGR of ~32% is exceptional (from a low base), scoring at maximum [4]. Consecutive years paid (6) and consecutive years growth (5) are below the 10-year target, reflecting the dividend's relatively recent reinstatement. Revenue growth is the weak spot: 4.35% YoY and 3.5% 5yr CAGR are below the 10% target, reflecting the stable-growth nature of regional banking [1][4]. Q2 2026 earnings of $96.1M ($0.62/share, +24% YoY) and net margin of 39% confirm the earnings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BanCorp operates as a well-managed but conventionally minded regional bank. Founded in 1948, it has demonstrated durability through Puerto Rico's fiscal crises, hurricanes, and economic cycles, which shows institutional resilience. However, the company lacks an articulated Just Cause beyond serving its markets profitably, and strategic decisions are primarily driven by return optimization rather than a vision of a better future. Net insider selling of $1.9M in the past year signals leadership playing for personal returns rather than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BanCorp serves as a critical financial institution in Puerto Rico, providing banking access to an underserved U.S. territory since 1948 [5]. This has inherent community value — Puerto Rico's economic challenges make reliable banking services essential. But the company's purpose is expressed as standard banking operations rather than a cause. No mission statement articulating a vision beyond financial services was identified.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CFO succession from long-serving Orlando Berges to internal successor Said Ortiz demonstrates organizational stability and investment in talent development [1]. 78-year operating history suggests institutional knowledge and continuity. However, the 22 insider sells with zero insider buys over the past year could signal that leadership prioritizes personal liquidity over shared ownership, and no specific cultural or retention data supports a high-trust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First BanCorp views competitors. In Puerto Rico, the competitive landscape includes Popular Inc. (BPOP) which is the largest bank on the island. No management commentary about learning from competitors or using competitive pressure for self-improvement was identified in reviewed materials.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BanCorp has expanded from Puerto Rico into Florida and the USVI, diversifying geographic risk and growing its addressable market [1][4]. The bank navigated Puerto Rico's fiscal crisis (2015-2022), Hurricane Maria (2017), and the pandemic while maintaining its franchise — demonstrating resilience if not transformation. However, these are incremental adaptations rather than fundamental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First BanCorp maintained investment in Puerto Rico through the territory's fiscal crisis, multiple hurricanes, and pandemic — continuing to lend and serve customers when other banks were retreating [1]. The decision to expand into Florida required capital allocation away from the more profitable Puerto Rico franchise. These demonstrate some courage to invest for the long term, though the overall strategy remains conservative and conventional.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BanCorp is a high-quality regional bank delivering accelerating earnings growth from a dominant Puerto Rico franchise with Florida expansion optionality [1]. Q2 2026 net income of $96.1M ($0.62/share) grew 24% YoY with a 39% net margin, and the bank reached record pretax preprovision income [1]. The balance sheet is exceptionally clean (D/E 10%, ROE 18.03%) with conservative dividend coverage (33.76% payout ratio) [3]. The stock hit a new 52-week high on July 28, 2026, reflecting market recognition of the earnings quality. At 12.12x trailing earnings with a 2.8% dividend yield growing at ~32% CAGR, FBP offers a compelling income-plus-growth profile. Puerto Rico's economic stabilization and AI-driven data center investment on the island could provide additional tailwinds for commercial lending demand.</w:t>
      </w:r>
    </w:p>
    <w:p>
      <w:pPr>
        <w:spacing w:after="120"/>
      </w:pPr>
      <w:r>
        <w:rPr>
          <w:rFonts w:ascii="Calibri" w:hAnsi="Calibri"/>
          <w:b w:val="0"/>
          <w:color w:val="3A4A28"/>
          <w:sz w:val="20"/>
        </w:rPr>
        <w:t>The bear case focuses on revenue growth limitations, geographic concentration, and valuation after a significant run-up. Revenue grew only 4.35% in 2025 and the 5-year CAGR is just 3.5%, reflecting the mature nature of Puerto Rico's banking market [4]. Revenue declined 22% from $1.12B (2023) to $877M (2024) before partially recovering, demonstrating sensitivity to interest rate dynamics. The stock's new 52-week high and 12x earnings leave limited margin of safety — analyst consensus projects a bearish outlook despite the 39% net margin [3]. Net insider selling of $1.9M across 22 transactions in the past year is a concerning signal from management [3]. The 6-year dividend track record, while growing rapidly, lacks the institutional depth of established dividend aristocrats. Puerto Rico and USVI operations remain vulnerable to catastrophic hurricanes and the territory's ongoing fiscal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20%+ EPS growth from expanding net interest margin and commercial loan demand in Puerto Rico and Florida, building on Q2 2026's record pretax preprovision income</w:t>
      </w:r>
    </w:p>
    <w:p>
      <w:pPr>
        <w:spacing w:before="40" w:after="40"/>
        <w:ind w:left="283"/>
      </w:pPr>
      <w:r>
        <w:rPr>
          <w:rFonts w:ascii="Calibri" w:hAnsi="Calibri"/>
          <w:b/>
          <w:color w:val="4A6B25"/>
          <w:sz w:val="20"/>
        </w:rPr>
        <w:t xml:space="preserve">2. </w:t>
      </w:r>
      <w:r>
        <w:rPr>
          <w:rFonts w:ascii="Calibri" w:hAnsi="Calibri"/>
          <w:b w:val="0"/>
          <w:color w:val="3A4A28"/>
          <w:sz w:val="20"/>
        </w:rPr>
        <w:t>Dividend growth continuation — recent increase to $0.18/quarter ($0.72 annualized in 2025, up from $0.12 in 2019) with a 33.76% payout ratio providing significant room for further increases</w:t>
      </w:r>
    </w:p>
    <w:p>
      <w:pPr>
        <w:spacing w:before="40" w:after="40"/>
        <w:ind w:left="283"/>
      </w:pPr>
      <w:r>
        <w:rPr>
          <w:rFonts w:ascii="Calibri" w:hAnsi="Calibri"/>
          <w:b/>
          <w:color w:val="4A6B25"/>
          <w:sz w:val="20"/>
        </w:rPr>
        <w:t xml:space="preserve">3. </w:t>
      </w:r>
      <w:r>
        <w:rPr>
          <w:rFonts w:ascii="Calibri" w:hAnsi="Calibri"/>
          <w:b w:val="0"/>
          <w:color w:val="3A4A28"/>
          <w:sz w:val="20"/>
        </w:rPr>
        <w:t>Puerto Rico economic stabilization and potential AI data center investment on the island driving commercial lending demand and deposit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of only 3.5% 5yr CAGR reflects the structural growth ceiling of Puerto Rico's banking market — the island's population has declined ~15% since 2010, limiting long-term deposit and lending growth</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of $1.9M across 22 transactions with zero insider buys in the past year signals management may view the stock as fully valued at current levels</w:t>
      </w:r>
    </w:p>
    <w:p>
      <w:pPr>
        <w:spacing w:before="40" w:after="40"/>
        <w:ind w:left="283"/>
      </w:pPr>
      <w:r>
        <w:rPr>
          <w:rFonts w:ascii="Calibri" w:hAnsi="Calibri"/>
          <w:b/>
          <w:color w:val="4A6B25"/>
          <w:sz w:val="20"/>
        </w:rPr>
        <w:t xml:space="preserve">3. </w:t>
      </w:r>
      <w:r>
        <w:rPr>
          <w:rFonts w:ascii="Calibri" w:hAnsi="Calibri"/>
          <w:b w:val="0"/>
          <w:color w:val="3A4A28"/>
          <w:sz w:val="20"/>
        </w:rPr>
        <w:t>Hurricane exposure in Puerto Rico and USVI creates tail risk — a Category 5 storm could simultaneously impact loan quality, property values, and the bank's own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First BanCorp's core business is protected by several structural moats — banking regulation, deposit franchise, FDIC insurance, and relationship-based commercial lending that requires local knowledge and trust [1]. Puerto Rico's unique regulatory environment and the importance of physical branch presence for hurricane preparedness add geographic protection. However, fintech competitors are increasingly using AI to compete for deposits, loans, and payments, and AI-powered lending platforms could erode margins in standardized credit products. The bank's size limits its ability to invest in proprietary AI defense compared to large national banks. AI Opportunity (0/1): CEO has referenced AI automation as a strategic priority but no AI products are generating revenue and no quantified efficiency gains have been reported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BanCorp Q2 2026 Earnings: Net Income $96.1M, $0.62/share, Record Pretax Preprovision Income —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First BanCorp Q1 2026 Earnings: Net Income $88.8M, CFO Succession Plan —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FBP Key Statistics, Insider Transactions,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FBP Overview and Revenue History,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First BanCorp Inaugural ESG Report and Sustainability Policy — fbpinvestor.com/1firstbank.com,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