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FITB</w:t>
      </w:r>
      <w:r>
        <w:rPr>
          <w:rFonts w:ascii="Calibri" w:hAnsi="Calibri"/>
          <w:b/>
          <w:color w:val="1A2010"/>
          <w:sz w:val="40"/>
        </w:rPr>
        <w:t xml:space="preserve">  Fifth Third Bancorp</w:t>
      </w:r>
    </w:p>
    <w:p>
      <w:pPr>
        <w:spacing w:after="120"/>
      </w:pPr>
      <w:r>
        <w:rPr>
          <w:rFonts w:ascii="Calibri" w:hAnsi="Calibri"/>
          <w:b/>
          <w:color w:val="6E8450"/>
          <w:sz w:val="18"/>
        </w:rPr>
        <w:t>DIVIDEND SLEEVE · 2026-08-13 · Inspire: -67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Financials · Banks - Regional · NYSE · United States</w:t>
      </w:r>
    </w:p>
    <w:p>
      <w:pPr>
        <w:spacing w:after="80"/>
      </w:pPr>
      <w:r>
        <w:rPr>
          <w:rFonts w:ascii="Calibri" w:hAnsi="Calibri"/>
          <w:b w:val="0"/>
          <w:color w:val="3A4A28"/>
          <w:sz w:val="20"/>
        </w:rPr>
        <w:t>Fifth Third Bancorp is a diversified financial services company headquartered in Cincinnati, Ohio, founded in 1858. Following the transformative acquisition of Comerica in 2025-2026, Fifth Third surpassed $300 billion in total assets and became a Category III institution. Q2 2026 net income was $763M with NII of $2.22B (+48% YoY) and noninterest income of $1.06B (+41% YoY). The bank operates across commercial banking, consumer banking, wealth and asset management ($128B AUM), and commercial payments. CEO Tim Spence leads a workforce of 18,676 employees.</w:t>
      </w:r>
    </w:p>
    <w:p>
      <w:r>
        <w:rPr>
          <w:rFonts w:ascii="Calibri" w:hAnsi="Calibri"/>
          <w:b/>
          <w:color w:val="6E8450"/>
          <w:sz w:val="18"/>
        </w:rPr>
        <w:t>18,676 Employees · https://www.53.com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Comerica acquisition transformed Fifth Third from a ~$210B regional bank to a $300B+ Category III institution, opening new geographies and dramatically scaling commercial banking, wealth management, and payments businesses [1]. Digital transformation under CIO Jude Schramm accelerated from approximately 2 major mobile app upgrades annually in 2021 to more than 500 in 2025 — a 250x increase in technology delivery velocity [2]. AI Deployment (1/2): Fifth Third has identified four AI pillars — empowering employees, enhancing engineering, streamlining business processes, and improving customer interactions [2]. CIO Schramm was named to American Banker's Most Innovative People in Finance list in 2026. However, no specific AI-driven cost savings or revenue gains have been publicly quantified. Market Share (1/2): Fifth Third is now a top-15 U.S. bank by assets at $300B+ and has gained consumer deposit share — $2.5B in consumer deposits from the Comerica conversion campaign and $2.1B in Newline deposits in Q2 2026 [1]. However, the bank is not a category leader in any specific segment. Product Pipeline (1/2): The Comerica systems conversion scheduled for Labor Day weekend 2026 represents the final step to unlock full run-rate cost synergies, providing a specific near-term catalyst [1]. R&amp;D Intensity (0/1): Banks do not report R&amp;D as a separate line item; technology investment is embedded in noninterest expense.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Fifth Third's purpose centers on improving the lives of customers and the well-being of communities — clear and consistent for a 168-year-old institution, but fundamentally interchangeable with any community-focused bank. The purpose identifies what the company does and for whom without articulating a deeper or distinctive reason for existing beyond financial services [3]. Community Impact (1/2): Fifth Third published its inaugural ESG Report in 2020 and has received strong third-party ESG ratings including a three-notch MSCI upgrade and top-quartile rankings from Sustainalytics, S&amp;P Global, and CDP [3]. The bank's five ESG priorities include strengthening communities and addressing climate change. However, specific dollar amounts for community investment programs were not identified. Employee Retention (0/2): No specific retention, turnover, or tenure data was found. Comparably rates the executive team a 'D' (though this data may be outdated given CEO Tim Spence's tenure since 2022) [2]. Insider Buying (0/2): No evidence of meaningful net insider buying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Fifth Third demonstrates strong post-acquisition financial profile with Q2 2026 NII of $2.22B (+48% YoY), profit margin of 23.29%, and Forward P/E of 12.57x — well below the 20x target [1]. Revenue growth YoY of 26.3% (driven largely by Comerica) far exceeds the 10% target. The 5-year revenue CAGR of approximately 5.3% reflects modest organic growth supplemented by the transformative acquisition. D/E of 790% scores zero — typical for banks where leverage IS the business model — dragging the overall score. Dividend metrics are strong: 52 consecutive years of payment, 15 consecutive years of growth, 5yr dividend CAGR of 7.35% (above 2x inflation target), and a payout ratio of 56% [1]. ROE of 8.44% (9.5% ROCE, 15.6% adjusted ROTCE) is below the 15% target but respectable for a bank executing a major integration. CET1 ratio of 9.93% and net charge-off ratio of 0.30% (lowest since Q2 2023) signal strong capital and credit quality.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Fifth Third demonstrates mixed infinite game characteristics — a 168-year operating history and consistent dividend growth suggest institutional endurance, but the competitive language, acquisition-driven growth strategy, and lack of a distinctive just cause indicate a company playing to win market share rather than to advance an enduring purpose. The Comerica acquisition was strategically sound but driven by scale economics rather than a vision of a better future for banking. CEO Tim Spence's leadership is execution-focused and competent but does not articulate a cause that would inspire sacrifice [1][2].</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Fifth Third's purpose — improving the lives of customers and well-being of communities — is genuine but shallow in Sinek's framework. It is interchangeable with any regional bank's mission statement. While the company's 168-year history demonstrates institutional resilience, the purpose does not shape strategic decisions in a distinctive way — the Comerica acquisition was driven by scale advantages and cost synergies rather than by a vision of transforming financial services [1]. Leadership references customer and community impact but the strategic narrative is about asset size, efficiency ratios, and market position.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Fifth Third maintains a stable organization with 18,676 employees and consistent leadership under CEO Tim Spence (since 2022). The Comerica integration has been managed methodically with a clear timeline (systems conversion Labor Day weekend 2026), and consumer deposit conversion campaigns have been successful ($2.5B in converted deposits), suggesting organizational competence [1]. However, Comparably rates the executive team a 'D,' and the rapid post-acquisition integration of thousands of Comerica employees creates cultural integration risk. No evidence of exceptional trust, empowerment, or cultural practices was found.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Fifth Third's competitive posture appears oriented toward scale and market positioning — the Comerica acquisition language emphasizes becoming a Category III institution, surpassing $300B in assets, and gaining market share in key geographies [1]. This is finite-game language about winning through size rather than learning from worthy rivals. No evidence was found of leadership publicly acknowledging competitors' strengths as sources of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Fifth Third has evolved meaningfully from a traditional regional bank to a diversified financial services institution through digital transformation (500 app upgrades/year from 2/year in 2021) and the transformative Comerica acquisition [1][2]. The adoption of cloud infrastructure, AI capabilities, and commercial payments diversification demonstrates strategic adaptation. However, these changes are incremental evolution within banking — not a fundamental reinvention of the business model or a pivot that abandoned what was working.</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Comerica acquisition represents a significant strategic bet — a multi-billion dollar deal that transformed Fifth Third from a $210B regional bank to a $300B+ Category III institution [1]. CEO Tim Spence committed to a complex integration with execution risk (systems conversion, cultural integration, regulatory compliance) in pursuit of long-term scale advantages. The bank also invested heavily in digital transformation during a period of industry disruption. However, the acquisition was driven by growth economics rather than a principled stand, and no evidence was found of leadership sacrificing short-term earnings for values-based decisions.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Fifth Third at 12.57x forward earnings is attractively valued for a bank that just completed a transformative acquisition. Q2 2026 results demonstrate early Comerica integration success — NII of $2.22B (+48% YoY), total revenue of $3.28B, and wealth AUM of $128B (+75% YoY) with the Labor Day systems conversion poised to unlock full run-rate cost synergies [1]. The dividend is well-supported at $1.60 annually (2.76% yield, 15 consecutive years of growth, 7.35% 5-year CAGR) with CET1 capital of 9.93% and net charge-offs at 0.30% — the lowest since Q2 2023. The stock has gained 45% over the past year on Comerica accretion, and the Category III designation positions Fifth Third for additional market share gains in commercial banking and wealth management.</w:t>
      </w:r>
    </w:p>
    <w:p>
      <w:pPr>
        <w:spacing w:after="120"/>
      </w:pPr>
      <w:r>
        <w:rPr>
          <w:rFonts w:ascii="Calibri" w:hAnsi="Calibri"/>
          <w:b w:val="0"/>
          <w:color w:val="3A4A28"/>
          <w:sz w:val="20"/>
        </w:rPr>
        <w:t>The bear case centers on integration execution risk, earnings quality, and structural bank challenges. Reported EPS of $2.85 TTM is depressed by Comerica merger charges, and adjusted ROTCE of 15.6% must be sustained post-integration to justify the current multiple [1]. The D/E ratio of 790% — while typical for banks — exposes Fifth Third to interest rate volatility and credit cycle risk. Revenue growth of 26.3% YoY is almost entirely acquisition-driven; organic growth is low single digits, and the 5-year revenue CAGR of ~5.3% is below the 10% target. The payout ratio of 56% on reported earnings is elevated, limiting buyback capacity during integration. Cultural integration of 18,676+ combined employees creates operational risk, and the Comparably executive team rating of 'D' suggests employee sentiment challenges [2]. The Inspire Impact Score of -67 (MISALIGNED) for Abortion Activism and LGBT Activism will limit allocation for faith-based investors despite 18 positive ESG attributions.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Comerica systems conversion on Labor Day weekend 2026 — the final step to unlocking full run-rate cost synergies, expected to drive efficiency ratio improvement from the current 64.3% and boost adjusted ROTCE above 16% [1]</w:t>
      </w:r>
    </w:p>
    <w:p>
      <w:pPr>
        <w:spacing w:before="40" w:after="40"/>
        <w:ind w:left="283"/>
      </w:pPr>
      <w:r>
        <w:rPr>
          <w:rFonts w:ascii="Calibri" w:hAnsi="Calibri"/>
          <w:b/>
          <w:color w:val="4A6B25"/>
          <w:sz w:val="20"/>
        </w:rPr>
        <w:t xml:space="preserve">2. </w:t>
      </w:r>
      <w:r>
        <w:rPr>
          <w:rFonts w:ascii="Calibri" w:hAnsi="Calibri"/>
          <w:b w:val="0"/>
          <w:color w:val="3A4A28"/>
          <w:sz w:val="20"/>
        </w:rPr>
        <w:t>Wealth and asset management growth trajectory — $128B AUM (+75% YoY, +8% sequentially) with commercial payments (+67% YoY) and capital markets (+71% YoY) diversifying revenue away from rate-sensitive NII [1]</w:t>
      </w:r>
    </w:p>
    <w:p>
      <w:pPr>
        <w:spacing w:before="40" w:after="40"/>
        <w:ind w:left="283"/>
      </w:pPr>
      <w:r>
        <w:rPr>
          <w:rFonts w:ascii="Calibri" w:hAnsi="Calibri"/>
          <w:b/>
          <w:color w:val="4A6B25"/>
          <w:sz w:val="20"/>
        </w:rPr>
        <w:t xml:space="preserve">3. </w:t>
      </w:r>
      <w:r>
        <w:rPr>
          <w:rFonts w:ascii="Calibri" w:hAnsi="Calibri"/>
          <w:b w:val="0"/>
          <w:color w:val="3A4A28"/>
          <w:sz w:val="20"/>
        </w:rPr>
        <w:t>Consumer deposit acquisition momentum — $2.5B from Comerica conversion and 3% legacy household growth (7% in Southeast) suggest organic franchise value creation beyond the acquisition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Integration execution risk — the Comerica systems conversion represents a high-stakes technical migration that, if disrupted, could trigger deposit attrition and operational losses during a critical accretion period [1]</w:t>
      </w:r>
    </w:p>
    <w:p>
      <w:pPr>
        <w:spacing w:before="40" w:after="40"/>
        <w:ind w:left="283"/>
      </w:pPr>
      <w:r>
        <w:rPr>
          <w:rFonts w:ascii="Calibri" w:hAnsi="Calibri"/>
          <w:b/>
          <w:color w:val="4A6B25"/>
          <w:sz w:val="20"/>
        </w:rPr>
        <w:t xml:space="preserve">2. </w:t>
      </w:r>
      <w:r>
        <w:rPr>
          <w:rFonts w:ascii="Calibri" w:hAnsi="Calibri"/>
          <w:b w:val="0"/>
          <w:color w:val="3A4A28"/>
          <w:sz w:val="20"/>
        </w:rPr>
        <w:t>Credit cycle exposure — while net charge-offs of 0.30% are historically low, the $178.5B loan portfolio (46% YoY growth from Comerica) includes significant commercial real estate and C&amp;I exposure that could deteriorate in a recession [1]</w:t>
      </w:r>
    </w:p>
    <w:p>
      <w:pPr>
        <w:spacing w:before="40" w:after="40"/>
        <w:ind w:left="283"/>
      </w:pPr>
      <w:r>
        <w:rPr>
          <w:rFonts w:ascii="Calibri" w:hAnsi="Calibri"/>
          <w:b/>
          <w:color w:val="4A6B25"/>
          <w:sz w:val="20"/>
        </w:rPr>
        <w:t xml:space="preserve">3. </w:t>
      </w:r>
      <w:r>
        <w:rPr>
          <w:rFonts w:ascii="Calibri" w:hAnsi="Calibri"/>
          <w:b w:val="0"/>
          <w:color w:val="3A4A28"/>
          <w:sz w:val="20"/>
        </w:rPr>
        <w:t>Organic growth deceleration — excluding the Comerica contribution, Fifth Third's core revenue growth is low single digits, and the bank's 5-year revenue CAGR of ~5.3% suggests limited franchise momentum outside of M&amp;A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Fifth Third's core banking business is protected by significant structural moats — FDIC insurance requirements, banking licenses, regulatory compliance costs, and deposit-based switching costs create barriers that AI-native fintech companies cannot easily overcome [1]. Physical branch infrastructure and relationship-driven commercial banking add additional friction. However, AI-powered financial services platforms (Chime, SoFi, neobanks) continue to erode retail banking margins, and AI tools for lending, underwriting, and wealth management could compress advisory fees over time. Analysts have not flagged AI displacement as a material risk for Fifth Third specifically, but the broader banking sector faces ongoing pressure from digital disruptors. The Comerica acquisition adds geographic diversification that broadens the defensive moat. AI Opportunity (0/1): While Fifth Third deploys AI internally across four pillars (employee empowerment, engineering, business processes, customer interactions) and CIO Schramm earned recognition as one of American Banker's Most Innovative People in Finance [2], no specific AI-related revenue figures or quantified cost savings have been publicly reported. AI enhances existing banking services but is not a separately monetized product line.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Fifth Third Bancorp Q2 2026 Earnings Release — Net Income $763M, NII $2.22B (+48% YoY), Total Assets $300.1B, CET1 9.93%, NCO 0.30%, ir.53.com, July 2026</w:t>
      </w:r>
    </w:p>
    <w:p>
      <w:pPr>
        <w:spacing w:before="20" w:after="20"/>
        <w:ind w:left="170"/>
      </w:pPr>
      <w:r>
        <w:rPr>
          <w:rFonts w:ascii="Calibri" w:hAnsi="Calibri"/>
          <w:b/>
          <w:color w:val="4A6B25"/>
          <w:sz w:val="15"/>
        </w:rPr>
        <w:t xml:space="preserve">2. </w:t>
      </w:r>
      <w:r>
        <w:rPr>
          <w:rFonts w:ascii="Calibri" w:hAnsi="Calibri"/>
          <w:b w:val="0"/>
          <w:color w:val="3A4A28"/>
          <w:sz w:val="17"/>
        </w:rPr>
        <w:t>Forbes/American Banker — Fifth Third CIO Jude Schramm AI Innovation, 500 App Upgrades, Most Innovative People in Finance, January 2025/June 2026</w:t>
      </w:r>
    </w:p>
    <w:p>
      <w:pPr>
        <w:spacing w:before="20" w:after="20"/>
        <w:ind w:left="170"/>
      </w:pPr>
      <w:r>
        <w:rPr>
          <w:rFonts w:ascii="Calibri" w:hAnsi="Calibri"/>
          <w:b/>
          <w:color w:val="4A6B25"/>
          <w:sz w:val="15"/>
        </w:rPr>
        <w:t xml:space="preserve">3. </w:t>
      </w:r>
      <w:r>
        <w:rPr>
          <w:rFonts w:ascii="Calibri" w:hAnsi="Calibri"/>
          <w:b w:val="0"/>
          <w:color w:val="3A4A28"/>
          <w:sz w:val="17"/>
        </w:rPr>
        <w:t>Fifth Third ESG Report, CSRWire, Investor Relations — ESG Ratings (MSCI, Sustainalytics, S&amp;P Global), Community Investment Priorities, 2020-2026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