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FNF</w:t>
      </w:r>
      <w:r>
        <w:rPr>
          <w:rFonts w:ascii="Calibri" w:hAnsi="Calibri"/>
          <w:b/>
          <w:color w:val="1A2010"/>
          <w:sz w:val="40"/>
        </w:rPr>
        <w:t xml:space="preserve">  Fidelity National Financial, Inc.</w:t>
      </w:r>
    </w:p>
    <w:p>
      <w:pPr>
        <w:spacing w:after="120"/>
      </w:pPr>
      <w:r>
        <w:rPr>
          <w:rFonts w:ascii="Calibri" w:hAnsi="Calibri"/>
          <w:b/>
          <w:color w:val="6E8450"/>
          <w:sz w:val="18"/>
        </w:rPr>
        <w:t>DIVIDEND SLEEVE · 2026-07-21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Title Insurance · NYSE · United States</w:t>
      </w:r>
    </w:p>
    <w:p>
      <w:pPr>
        <w:spacing w:after="80"/>
      </w:pPr>
      <w:r>
        <w:rPr>
          <w:rFonts w:ascii="Calibri" w:hAnsi="Calibri"/>
          <w:b w:val="0"/>
          <w:color w:val="3A4A28"/>
          <w:sz w:val="20"/>
        </w:rPr>
        <w:t>Fidelity National Financial, Inc. is the nation's largest title insurance company and a leading provider of technology and transaction services to the real estate and mortgage industries. Through its F&amp;G segment, FNF also provides insurance solutions including fixed indexed annuities and life insurance products. The company operates through two segments: Title (title insurance, escrow, and other title-related services) and F&amp;G (insurance and annuity products). Headquartered in Jacksonville, Florida.</w:t>
      </w:r>
    </w:p>
    <w:p>
      <w:r>
        <w:rPr>
          <w:rFonts w:ascii="Calibri" w:hAnsi="Calibri"/>
          <w:b/>
          <w:color w:val="6E8450"/>
          <w:sz w:val="18"/>
        </w:rPr>
        <w:t>25,000 Employees · https://www.fnf.com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FNF has maintained its position as the #1 title insurance company while expanding into insurance/annuities through the F&amp;G segment, completing a partial distribution of F&amp;G shares to FNF shareholders in December 2025 [1][2]. The F&amp;G expansion represents meaningful diversification but is acquisition-driven rather than organic innovation. No transformative business model reinvention in the last 5 years. AI Deployment (1/2): FNF appointed Jason Nadeau as Chief Artificial Intelligence Officer, promoting him from Chief Digital Officer [3]. CEO Mike Nolan stated that 'FNF's overall technology vision has always included emerging technologies' and the company has been 'a leader in leveraging digital technologies, machine learning, and AI at scale to service clients and customers' [3]. AI is being integrated into title search and closing processes, though no specific revenue impact or cost savings have been publicly quantified. Market Share (2/2): FNF is the undisputed #1 title insurance company in the United States, maintaining industry-leading adjusted pre-tax title margins of 13.1% in Q1 2026 [1]. The company's scale, brand, and data assets provide durable competitive positioning in a heavily regulated industry. Product Pipeline (1/2): FNF appointed Jeffrey Heighton as President of Enterprise Solutions - Agency in March 2026 to drive technology-enabled growth with title agents [4]. General technology investment is ongoing but no specific next-gen products with launch timelines have been announced. R&amp;D Intensity (1/1): For the title insurance industry, FNF's investment in technology (CAIO appointment, digital transformation initiatives) represents above-average commitment to innovation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FNF's mission is 'To advance, expand, and protect the experience of property ownership' [5]. The mission is clear and connects to a meaningful societal function — enabling homeownership — but is not deeply distinctive from other financial services companies and reads more as a description of the business than an aspirational purpose. It doesn't articulate a future state that doesn't yet exist. Community Impact (0/2): No evidence of significant, distinctive charitable programs, foundation activity, or community investment beyond standard corporate practices was identified in the search results. Employee Retention (0/2): FNF's culture is described as 'professional, results-oriented, and fast-paced' with six corporate precepts emphasizing 'Bias for Action' and lean management [5]. However, no specific employee retention data, average tenure, or voluntary turnover metrics were publicly available. Insider Buying (0/2): FNF insiders have been net sellers over the long term, with total insider stock sales of $562M significantly exceeding total purchases of $3.5M since 2005 [6]. In the most recent 3 months, insiders have only sold shares.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$3.23B revenue (up 18.2% YoY) with adjusted net earnings of $249M ($0.93/share, up 19.2%) [1]. The Title segment produced $2.0B revenue with industry-leading 13.1% adjusted pre-tax margin, while F&amp;G achieved record $74.5B AUM before reinsurance [1]. D/E of 51% is well within the 70% target. ROE of 14.0% falls just short of the 15% target (score 0.93). Full-year 2025 revenue growth of 5.6% was below the 10% target, and the 4-year revenue CAGR of approximately -2% reflects cyclical decline from the 2021 real estate boom peak of $15.6B [2]. Forward P/E of 9.45 is deeply below the 20 target. Profit margin of 4.15% is well below the 20% target, typical for title insurance and financial services businesses that operate on volume and scale rather than high margins. Dividend metrics are strong: 19 consecutive years of payment, 15 consecutive years of growth, 9.4% 5-year dividend growth CAGR, and a manageable 41.8% payout ratio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FNF demonstrates a partially infinite mindset centered on its role in enabling property ownership, supported by consistent dividend growth and long-term market leadership. The company's six corporate precepts — particularly 'Bias for Action' and 'Highest Standard of Conduct' — suggest values-driven management. However, the company's strategic decisions (F&amp;G acquisition for diversification, partial share distribution) are primarily financial optimization rather than purpose-driven transformation. CEO Mike Nolan's operational leadership prioritizes efficiency and margins over visionary industry reshaping.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FNF's mission to 'advance, expand, and protect the experience of property ownership' is genuine and connects the company's work to the meaningful societal function of homeownership [5]. The purpose has been relatively consistent across leadership transitions and market cycles, and FNF's continued investment in title technology and agent services demonstrates alignment between stated purpose and strategic action. However, the purpose hasn't been tested through a truly existential crisis or validated by decades of counter-intuitive strategic decisions in its service.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FNF's corporate precepts emphasize lean management, employee empowerment, and quick decision-making — 'Our company's growth is driven by our people and our commitment to our core values and culture' [5]. The promotion of internal talent (Jason Nadeau from CDO to CAIO, Jeffrey Heighton to agency leadership) suggests a culture that develops and trusts its people. However, no specific evidence of exceptional trust culture, low turnover, or psychological safety metrics was found. The culture is described as 'professional, results-oriented, and fast-paced,' which can indicate either empowerment or pressure depending on implementation.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FNF's leadership acknowledging competitors' strengths or framing competition as mutual improvement. As the dominant #1 player in title insurance, FNF's communications focus on maintaining market leadership and margin superiority rather than learning from rivals. The competitive framing is implicitly about staying on top rather than getting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FNF's acquisition of Fidelity &amp; Guaranty Life (F&amp;G) in 2020 and subsequent partial distribution of shares in 2025 represents a meaningful expansion beyond pure title insurance into the broader insurance and annuity market [2]. This diversification was a strategic evolution that reduced FNF's cyclical exposure to real estate transaction volumes. However, the move was incremental rather than transformative — FNF is still fundamentally a title insurance company with an adjacent insurance business, not a company that reinvented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FNF's decision to acquire F&amp;G during the 2020 pandemic uncertainty and then structure a partial distribution to shareholders in 2025 demonstrated willingness to make significant capital allocation decisions [2]. The company has maintained dividend growth through 15 consecutive years including challenging real estate cycles (2022-2023 rate shock). However, as the dominant market leader with $74.5B F&amp;G AUM, these decisions carry less relative risk than they would for a smaller competitor.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FNF is the undisputed leader in U.S. title insurance with industry-leading adjusted pre-tax title margins of 13.1% and a strengthening real estate cycle supporting recovery from the 2022-2023 rate shock [1]. Q1 2026 revenue grew 18.2% YoY to $3.23B with adjusted net earnings up 19.2% to $0.93/share, signaling accelerating momentum as mortgage rates moderate and housing transactions recover. The F&amp;G segment delivered record $74.5B AUM before reinsurance with $3.2B in gross sales, providing diversified earnings and reducing cyclicality [1]. Forward P/E of 9.45 against consensus $5.85 2026 EPS offers compelling value. The 4.41% dividend yield with 15 consecutive years of growth and 9.4% 5-year CAGR provides attractive income with a sustainable 41.8% payout ratio [7].</w:t>
      </w:r>
    </w:p>
    <w:p>
      <w:pPr>
        <w:spacing w:after="120"/>
      </w:pPr>
      <w:r>
        <w:rPr>
          <w:rFonts w:ascii="Calibri" w:hAnsi="Calibri"/>
          <w:b w:val="0"/>
          <w:color w:val="3A4A28"/>
          <w:sz w:val="20"/>
        </w:rPr>
        <w:t>The bear case centers on FNF's deep cyclicality and structurally low margins. Revenue declined from $15.6B in 2021 to $11.6B in 2022 as rate hikes crushed housing transactions, and the 4-year revenue CAGR remains negative at -2% despite recent recovery [2]. Profit margin of 4.15% is structurally low for the title insurance model, leaving limited buffer against operational headwinds. ROE of 14.0% falls short of the 15% target, reflecting the capital-intensive financial services business model. Q1 2026 results missed analyst estimates despite strong YoY growth, with $0.93 EPS versus $1.09 expected and $3.23B revenue versus $3.62B expected, suggesting the recovery may be slower than anticipated [1]. AI-driven title search automation could eventually compress margins industry-wide by reducing the operational moat that FNF's scale provides. The F&amp;G insurance segment adds complexity and interest rate sensitivity to the earnings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normalization driving housing transaction recovery toward pre-2022 levels, with Q1 2026 already showing 18.2% revenue acceleration and improving title order volumes</w:t>
      </w:r>
    </w:p>
    <w:p>
      <w:pPr>
        <w:spacing w:before="40" w:after="40"/>
        <w:ind w:left="283"/>
      </w:pPr>
      <w:r>
        <w:rPr>
          <w:rFonts w:ascii="Calibri" w:hAnsi="Calibri"/>
          <w:b/>
          <w:color w:val="4A6B25"/>
          <w:sz w:val="20"/>
        </w:rPr>
        <w:t xml:space="preserve">2. </w:t>
      </w:r>
      <w:r>
        <w:rPr>
          <w:rFonts w:ascii="Calibri" w:hAnsi="Calibri"/>
          <w:b w:val="0"/>
          <w:color w:val="3A4A28"/>
          <w:sz w:val="20"/>
        </w:rPr>
        <w:t>F&amp;G segment reaching record AUM of $74.5B with growing annuity sales, providing diversified earnings stream and reducing FNF's cyclical exposure to real estate transaction volumes</w:t>
      </w:r>
    </w:p>
    <w:p>
      <w:pPr>
        <w:spacing w:before="40" w:after="40"/>
        <w:ind w:left="283"/>
      </w:pPr>
      <w:r>
        <w:rPr>
          <w:rFonts w:ascii="Calibri" w:hAnsi="Calibri"/>
          <w:b/>
          <w:color w:val="4A6B25"/>
          <w:sz w:val="20"/>
        </w:rPr>
        <w:t xml:space="preserve">3. </w:t>
      </w:r>
      <w:r>
        <w:rPr>
          <w:rFonts w:ascii="Calibri" w:hAnsi="Calibri"/>
          <w:b w:val="0"/>
          <w:color w:val="3A4A28"/>
          <w:sz w:val="20"/>
        </w:rPr>
        <w:t>AI and technology deployment under new CAIO Jason Nadeau improving title search efficiency and closing processes, potentially expanding industry-leading margins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remains rate-sensitive — if the Fed holds rates higher for longer or re-raises, title insurance transaction volumes will compress again, and FNF's 4-year negative revenue CAGR shows the severity of prior cyclical decline</w:t>
      </w:r>
    </w:p>
    <w:p>
      <w:pPr>
        <w:spacing w:before="40" w:after="40"/>
        <w:ind w:left="283"/>
      </w:pPr>
      <w:r>
        <w:rPr>
          <w:rFonts w:ascii="Calibri" w:hAnsi="Calibri"/>
          <w:b/>
          <w:color w:val="4A6B25"/>
          <w:sz w:val="20"/>
        </w:rPr>
        <w:t xml:space="preserve">2. </w:t>
      </w:r>
      <w:r>
        <w:rPr>
          <w:rFonts w:ascii="Calibri" w:hAnsi="Calibri"/>
          <w:b w:val="0"/>
          <w:color w:val="3A4A28"/>
          <w:sz w:val="20"/>
        </w:rPr>
        <w:t>Structurally low 4.15% profit margin and 14% ROE limit the quality of earnings and leave minimal buffer against competitive pricing pressure or AI-driven margin compression in the title industry</w:t>
      </w:r>
    </w:p>
    <w:p>
      <w:pPr>
        <w:spacing w:before="40" w:after="40"/>
        <w:ind w:left="283"/>
      </w:pPr>
      <w:r>
        <w:rPr>
          <w:rFonts w:ascii="Calibri" w:hAnsi="Calibri"/>
          <w:b/>
          <w:color w:val="4A6B25"/>
          <w:sz w:val="20"/>
        </w:rPr>
        <w:t xml:space="preserve">3. </w:t>
      </w:r>
      <w:r>
        <w:rPr>
          <w:rFonts w:ascii="Calibri" w:hAnsi="Calibri"/>
          <w:b w:val="0"/>
          <w:color w:val="3A4A28"/>
          <w:sz w:val="20"/>
        </w:rPr>
        <w:t>Q1 2026 revenue and EPS both missed analyst estimates despite strong YoY growth, suggesting the real estate recovery may be patchier than consensus models assume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Title insurance is a heavily regulated industry with physical-world anchoring — every real estate transaction requires legal documentation, regulatory compliance, property inspection, and human judgment on complex encumbrances and liens [1]. FNF's competitive moats (regulatory licensing in all 50 states, decades of proprietary title plant data, established relationships with realtors, lenders, and attorneys) cannot be replicated by AI. However, AI can automate portions of the title search, document review, and underwriting workflow, potentially enabling smaller competitors or new entrants to match some of FNF's efficiency advantages. The F&amp;G insurance segment similarly operates in a heavily regulated environment with significant barriers to entry. AI Opportunity (0/1): While FNF has appointed a Chief AI Officer and is deploying AI internally to improve operational efficiency, no specific AI-driven revenue streams or quantified cost savings have been publicly reported [3]. The AI deployment appears focused on internal productivity rather than external monetization.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FNF Q1 2026 Financial Results Press Release — prnewswire.com / investor.fnf.com, May 2026</w:t>
      </w:r>
    </w:p>
    <w:p>
      <w:pPr>
        <w:spacing w:before="20" w:after="20"/>
        <w:ind w:left="170"/>
      </w:pPr>
      <w:r>
        <w:rPr>
          <w:rFonts w:ascii="Calibri" w:hAnsi="Calibri"/>
          <w:b/>
          <w:color w:val="4A6B25"/>
          <w:sz w:val="15"/>
        </w:rPr>
        <w:t xml:space="preserve">2. </w:t>
      </w:r>
      <w:r>
        <w:rPr>
          <w:rFonts w:ascii="Calibri" w:hAnsi="Calibri"/>
          <w:b w:val="0"/>
          <w:color w:val="3A4A28"/>
          <w:sz w:val="17"/>
        </w:rPr>
        <w:t>FNF Q4 and Full Year 2025 Financial Results — fnf.gcs-web.com, February 2026</w:t>
      </w:r>
    </w:p>
    <w:p>
      <w:pPr>
        <w:spacing w:before="20" w:after="20"/>
        <w:ind w:left="170"/>
      </w:pPr>
      <w:r>
        <w:rPr>
          <w:rFonts w:ascii="Calibri" w:hAnsi="Calibri"/>
          <w:b/>
          <w:color w:val="4A6B25"/>
          <w:sz w:val="15"/>
        </w:rPr>
        <w:t xml:space="preserve">3. </w:t>
      </w:r>
      <w:r>
        <w:rPr>
          <w:rFonts w:ascii="Calibri" w:hAnsi="Calibri"/>
          <w:b w:val="0"/>
          <w:color w:val="3A4A28"/>
          <w:sz w:val="17"/>
        </w:rPr>
        <w:t>Fidelity National Financial Appoints Jason Nadeau as Chief AI Officer — investor.fnf.com, 2025</w:t>
      </w:r>
    </w:p>
    <w:p>
      <w:pPr>
        <w:spacing w:before="20" w:after="20"/>
        <w:ind w:left="170"/>
      </w:pPr>
      <w:r>
        <w:rPr>
          <w:rFonts w:ascii="Calibri" w:hAnsi="Calibri"/>
          <w:b/>
          <w:color w:val="4A6B25"/>
          <w:sz w:val="15"/>
        </w:rPr>
        <w:t xml:space="preserve">4. </w:t>
      </w:r>
      <w:r>
        <w:rPr>
          <w:rFonts w:ascii="Calibri" w:hAnsi="Calibri"/>
          <w:b w:val="0"/>
          <w:color w:val="3A4A28"/>
          <w:sz w:val="17"/>
        </w:rPr>
        <w:t>FNF Appoints Jeffrey Heighton as President of Enterprise Solutions - Agency — Simply Wall St, March 2026</w:t>
      </w:r>
    </w:p>
    <w:p>
      <w:pPr>
        <w:spacing w:before="20" w:after="20"/>
        <w:ind w:left="170"/>
      </w:pPr>
      <w:r>
        <w:rPr>
          <w:rFonts w:ascii="Calibri" w:hAnsi="Calibri"/>
          <w:b/>
          <w:color w:val="4A6B25"/>
          <w:sz w:val="15"/>
        </w:rPr>
        <w:t xml:space="preserve">5. </w:t>
      </w:r>
      <w:r>
        <w:rPr>
          <w:rFonts w:ascii="Calibri" w:hAnsi="Calibri"/>
          <w:b w:val="0"/>
          <w:color w:val="3A4A28"/>
          <w:sz w:val="17"/>
        </w:rPr>
        <w:t>FNF Mission Statement, Core Values, and Corporate Precepts — dcfmodeling.com / fnf.com,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FNF Insider Trading Activity — MarketBeat / insider-monitor.com,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FNF Dividend History and Statistics — StockAnalysis.com / Dividend.com,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