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FORM</w:t>
      </w:r>
      <w:r>
        <w:rPr>
          <w:rFonts w:ascii="Calibri" w:hAnsi="Calibri"/>
          <w:b/>
          <w:color w:val="1A2010"/>
          <w:sz w:val="40"/>
        </w:rPr>
        <w:t xml:space="preserve">  FormFactor, Inc.</w:t>
      </w:r>
    </w:p>
    <w:p>
      <w:pPr>
        <w:spacing w:after="120"/>
      </w:pPr>
      <w:r>
        <w:rPr>
          <w:rFonts w:ascii="Calibri" w:hAnsi="Calibri"/>
          <w:b/>
          <w:color w:val="6E8450"/>
          <w:sz w:val="18"/>
        </w:rPr>
        <w:t>GROWTH SLEEVE · 2026-07-29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FormFactor is the world's leading provider of semiconductor probe cards and test solutions, holding approximately 30% global market share. Products include advanced MEMS-based probe cards for logic, DRAM, flash, and HBM memory testing, enabling wafer-level testing across the full IC lifecycle from characterization to production. Key customers include SK Hynix (29% of revenue) and NVIDIA (10%). Headquartered in Livermore, California.</w:t>
      </w:r>
    </w:p>
    <w:p>
      <w:r>
        <w:rPr>
          <w:rFonts w:ascii="Calibri" w:hAnsi="Calibri"/>
          <w:b/>
          <w:color w:val="6E8450"/>
          <w:sz w:val="18"/>
        </w:rPr>
        <w:t>2,238 Employees · https://www.formfactor.com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FormFactor successfully pivoted to capitalize on AI and HBM demand, with HBM probe card revenue quadrupling in 2024 and adding approximately $100M in incremental revenue [1][2]. Advanced packaging and co-packaged optics testing represent new addressable markets that extend beyond traditional DRAM and logic testing. AI Deployment (1/2): FormFactor's products are specifically engineered for the AI semiconductor ecosystem — probe cards for HBM testing, GPU wafer testing, and advanced packaging are shipping to AI infrastructure customers and generating measurable AI-driven revenue gains, though the products themselves do not embed AI technology [1][2]. Market Share (2/2): Dominant global position with approximately 30% probe card market share, recognized as the leader in advanced logic and MEMS testing with an insurmountable moat in high-frequency mmWave testing up to 80 GHz [2]. Product Pipeline (1/2): Management targets revenue doubling to $1.6B by 2030, with Q2 2026 guidance of $240M (up from record Q1 of $226.1M) implying continued sequential acceleration; co-packaged optics and advanced packaging testing in development but lack specific launch dates [1][2]. R&amp;D Intensity (1/1): As a semiconductor equipment leader, FormFactor's R&amp;D investment sustains its MEMS technology moat and 30% market share against Technoprobe and MPI Corporation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FormFactor's stated mission is to 'enable our customers to build the future by delivering essential test and measurement technologies' [3]. This identifies what the company does and for whom with a forward-looking element, but does not articulate a deeper purpose beyond customer enablement and is interchangeable with many B2B technology companies. Community Impact (0/2): FormFactor maintains a Corporate Citizenship page but no specific charitable programs, foundation, or community investment with quantified dollar amounts were identified [3]. Employee Retention (0/2): CEO Mike Slessor's 12+ year tenure provides leadership stability, but Glassdoor ratings of 3.2/5 (260 reviews) are below average, with employee reviews citing an 'us vs them' mentality between offices, 'good ole boys club' culture, and mixed views on executive leadership alongside praise for CEO transparency and data sharing [5].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record revenue of $226.1M, up 32% YoY, with non-GAAP gross margin of 49% (up 510bp from Q4 2025) and EPS of $0.56 [1]. Balance sheet is pristine with D/E of just 3%, reflecting near-zero leverage with minimal debt. However, trailing ROE of 6.75% and profit margin of 8.14% remain below targets, reflecting the company's historical cyclicality and early-stage profitability inflection [4]. Forward P/E of 44 is elevated relative to the 20 target, pricing in significant future earnings growth. Five-year revenue CAGR of approximately 2.4% reflects the 2022-2023 downturn ($663M low) that depressed the compound figure, though the business is now in a clear acceleration phase with Q2 2026 guided to $240M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FormFactor operates with a functional, execution-oriented culture under long-tenured CEO Mike Slessor (12+ years). The company made sound strategic bets on HBM and AI testing before the market inflected, showing elements of long-term thinking. However, there is no deeply articulated Just Cause beyond customer enablement, and Glassdoor ratings of 3.2/5 with cultural fragmentation between offices signal organizational challenges.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FormFactor's purpose of 'enabling customers to build the future' functions as a business strategy rather than a Just Cause in Sinek's framework [3]. The purpose exists and has some meaning — semiconductor testing does enable technological progress — but it reads as operational rather than idealistic. Leadership does not reference a larger vision of the future that the company is working toward; strategic decisions appear driven by market opportunity (AI/HBM testing demand) rather than an overarching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Slessor's 12+ year tenure and employee reviews praising 'excellent communications and transparency from the CEO' and 'significant data sharing' suggest some organizational trust [5]. However, Glassdoor's 3.2/5 overall rating, 3.1/5 for culture and values, and complaints about an 'us vs them' mentality between offices and a 'good ole boys club' culture indicate trust is inconsistent across the 2,238-person organization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FormFactor competes against Technoprobe, MPI Corporation, and Japan Electronic Materials in probe cards, positioning itself through MEMS technology leadership rather than competitor destruction [2]. The company's competitive language focuses on 'enabling customer success' and 'delivering essential technologies' rather than defeating rivals, and the 30% market share is maintained through innovation rather than aggressive tactics [2][3].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FormFactor evolved its product portfolio to capitalize on AI and HBM testing, expanding from traditional logic and memory probe cards into advanced packaging and co-packaged optics testing [2]. The HBM pivot opened a $100M+ incremental revenue stream. However, these are extensions of the company's core MEMS probe technology rather than a transformative reinvention of the business model — FormFactor has been making probe cards for decades.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Slessor invested in HBM probe card capabilities before the AI boom fully materialized, positioning FormFactor to capture a market that subsequently exploded [1]. The $1.6B 2030 revenue target represents a bold commitment to doubling the business [2]. However, these investments carried relatively low risk given FormFactor's existing technical capabilities and dominant market position — the company was already the leader and extended its technology into adjacent applications.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FormFactor is the undisputed global leader in semiconductor probe cards with 30% market share, riding a structural tailwind as AI chip complexity drives exponential growth in test intensity and probe card demand [1][2]. Q1 2026 delivered record revenue of $226.1M (up 32% YoY) with non-GAAP gross margin expanding to 49%, and Q2 guidance of $240M implies further acceleration toward the $1.6B 2030 target. SK Hynix (29% of revenue) and NVIDIA (10%) are anchor customers driving HBM and GPU testing demand. Near-zero leverage (D/E of 3%) provides financial flexibility, and the company's MEMS technology moat and deep customer integration create structural competitive advantages that are extremely difficult to replicate [4].</w:t>
      </w:r>
    </w:p>
    <w:p>
      <w:pPr>
        <w:spacing w:after="120"/>
      </w:pPr>
      <w:r>
        <w:rPr>
          <w:rFonts w:ascii="Calibri" w:hAnsi="Calibri"/>
          <w:b w:val="0"/>
          <w:color w:val="3A4A28"/>
          <w:sz w:val="20"/>
        </w:rPr>
        <w:t>The primary risk is valuation stretch — at 44x forward earnings and 115x trailing P/E, the stock prices in a dramatic profitability inflection that depends on sustained AI capital expenditure growth [4]. The five-year revenue CAGR of only 2.4% reveals the company's historical cyclicality; revenue fell 11.3% in 2023 before recovering 15.2% in 2024, and the current boom may prove similarly cyclical if hyperscaler CapEx moderates. Profit margin of 8.14% and ROE of 6.75% remain well below IOWN targets, indicating profitability is still early-stage [4]. Customer concentration is high — SK Hynix and NVIDIA together represent 39% of revenue, creating single-customer risk. The weak Inspiration score (Glassdoor 3.2/5, no visible community programs) and below-average organizational culture suggest the company lacks the mission-driven foundation IOWN values for long-term compounding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HBM and AI GPU testing demand expansion as chip complexity at 3nm and below drives higher test point density and longer test times, directly increasing FormFactor's revenue per wafer</w:t>
      </w:r>
    </w:p>
    <w:p>
      <w:pPr>
        <w:spacing w:before="40" w:after="40"/>
        <w:ind w:left="283"/>
      </w:pPr>
      <w:r>
        <w:rPr>
          <w:rFonts w:ascii="Calibri" w:hAnsi="Calibri"/>
          <w:b/>
          <w:color w:val="4A6B25"/>
          <w:sz w:val="20"/>
        </w:rPr>
        <w:t xml:space="preserve">2. </w:t>
      </w:r>
      <w:r>
        <w:rPr>
          <w:rFonts w:ascii="Calibri" w:hAnsi="Calibri"/>
          <w:b w:val="0"/>
          <w:color w:val="3A4A28"/>
          <w:sz w:val="20"/>
        </w:rPr>
        <w:t>Q2 2026 guidance of $240M implies 6% sequential growth with potential for gross margin expansion toward 50%+ as higher-value AI probe cards become a larger revenue mix [1]</w:t>
      </w:r>
    </w:p>
    <w:p>
      <w:pPr>
        <w:spacing w:before="40" w:after="40"/>
        <w:ind w:left="283"/>
      </w:pPr>
      <w:r>
        <w:rPr>
          <w:rFonts w:ascii="Calibri" w:hAnsi="Calibri"/>
          <w:b/>
          <w:color w:val="4A6B25"/>
          <w:sz w:val="20"/>
        </w:rPr>
        <w:t xml:space="preserve">3. </w:t>
      </w:r>
      <w:r>
        <w:rPr>
          <w:rFonts w:ascii="Calibri" w:hAnsi="Calibri"/>
          <w:b w:val="0"/>
          <w:color w:val="3A4A28"/>
          <w:sz w:val="20"/>
        </w:rPr>
        <w:t>Revenue doubling target to $1.6B by 2030 through advanced packaging, co-packaged optics, and HBM testing creates a long runway if AI infrastructure spending continues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Trailing P/E of 115x and forward P/E of 44x price in aggressive earnings growth — any deceleration in AI CapEx or HBM testing demand could trigger significant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risk with SK Hynix (29%) and NVIDIA (10%) representing 39% of total revenue, making FormFactor's results dependent on two customers' capital spending decisions [1]</w:t>
      </w:r>
    </w:p>
    <w:p>
      <w:pPr>
        <w:spacing w:before="40" w:after="40"/>
        <w:ind w:left="283"/>
      </w:pPr>
      <w:r>
        <w:rPr>
          <w:rFonts w:ascii="Calibri" w:hAnsi="Calibri"/>
          <w:b/>
          <w:color w:val="4A6B25"/>
          <w:sz w:val="20"/>
        </w:rPr>
        <w:t xml:space="preserve">3. </w:t>
      </w:r>
      <w:r>
        <w:rPr>
          <w:rFonts w:ascii="Calibri" w:hAnsi="Calibri"/>
          <w:b w:val="0"/>
          <w:color w:val="3A4A28"/>
          <w:sz w:val="20"/>
        </w:rPr>
        <w:t>Historical cyclicality — revenue declined 11.3% in 2023 and the five-year CAGR is only 2.4%, suggesting the semiconductor test market could revert to mean as it has in prior cycles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FormFactor is structurally immune to AI disruption and is a direct beneficiary — every AI chip (GPUs, HBM memory, advanced packaging interconnects) must undergo probe-based wafer testing before deployment, and FormFactor's MEMS probe cards are the critical testing infrastructure [1][2]. More complex AI chips with higher pin counts require more test points, longer test times, and more advanced probing technology, directly increasing FormFactor's revenue per wafer. SK Hynix (29% of revenue) and NVIDIA (10%) are direct AI infrastructure customers. The physical manufacturing, precision MEMS fabrication, and deep customer integration create moats that no AI model can replicate. AI Opportunity (1/1): FormFactor generates substantial AI-related revenue — HBM probe card sales exceeded $100M in incremental revenue in 2024, NVIDIA represents 10% of total revenue, and management's $1.6B 2030 target is predicated on AI chip testing intensity continuing to grow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FormFactor Q1 2026 Earnings Release and Q2 Guidance — investors.formfactor.com, April 2026</w:t>
      </w:r>
    </w:p>
    <w:p>
      <w:pPr>
        <w:spacing w:before="20" w:after="20"/>
        <w:ind w:left="170"/>
      </w:pPr>
      <w:r>
        <w:rPr>
          <w:rFonts w:ascii="Calibri" w:hAnsi="Calibri"/>
          <w:b/>
          <w:color w:val="4A6B25"/>
          <w:sz w:val="15"/>
        </w:rPr>
        <w:t xml:space="preserve">2. </w:t>
      </w:r>
      <w:r>
        <w:rPr>
          <w:rFonts w:ascii="Calibri" w:hAnsi="Calibri"/>
          <w:b w:val="0"/>
          <w:color w:val="3A4A28"/>
          <w:sz w:val="17"/>
        </w:rPr>
        <w:t>FormFactor Targets Revenue Doubling by 2030 on AI Chip Testing Boom — Yahoo Finance; Semiconductor Probe Card Market Analysis, 2026</w:t>
      </w:r>
    </w:p>
    <w:p>
      <w:pPr>
        <w:spacing w:before="20" w:after="20"/>
        <w:ind w:left="170"/>
      </w:pPr>
      <w:r>
        <w:rPr>
          <w:rFonts w:ascii="Calibri" w:hAnsi="Calibri"/>
          <w:b/>
          <w:color w:val="4A6B25"/>
          <w:sz w:val="15"/>
        </w:rPr>
        <w:t xml:space="preserve">3. </w:t>
      </w:r>
      <w:r>
        <w:rPr>
          <w:rFonts w:ascii="Calibri" w:hAnsi="Calibri"/>
          <w:b w:val="0"/>
          <w:color w:val="3A4A28"/>
          <w:sz w:val="17"/>
        </w:rPr>
        <w:t>FormFactor Company Profile, Mission, and Leadership — formfactor.com,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FORM Key Statistics and Financial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Glassdoor — FormFactor Employee Reviews (260 reviews, 3.2/5 rating),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