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FR</w:t>
      </w:r>
      <w:r>
        <w:rPr>
          <w:rFonts w:ascii="Calibri" w:hAnsi="Calibri"/>
          <w:b/>
          <w:color w:val="1A2010"/>
          <w:sz w:val="40"/>
        </w:rPr>
        <w:t xml:space="preserve">  First Industrial Realty Trust,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2026-08-07 · Inspire: 42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Real Estate · REIT - Industrial · NYSE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First Industrial Realty Trust is a Chicago-headquartered REIT that owns, operates, develops, and acquires logistics and industrial properties across 15 target U.S. metropolitan markets, managing approximately 72.1 million square feet. The company is currently facing a contested proxy campaign from activist investor Land &amp; Buildings Investment Management, which is seeking board changes and governance reforms over concerns about long director tenure and a persistent valuation discount.</w:t>
      </w:r>
    </w:p>
    <w:p>
      <w:r>
        <w:rPr>
          <w:rFonts w:ascii="Calibri" w:hAnsi="Calibri"/>
          <w:b/>
          <w:color w:val="6E8450"/>
          <w:sz w:val="18"/>
        </w:rPr>
        <w:t>152 Employees · https://www.firstindustrial.com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Q2 2026 cash rental rates rose 39% and the company closed a $152M sale-leaseback with Rockwell Automation, but these are incremental extensions of the existing leasing/capital-recycling strategy rather than a business model transformation [1][2]. AI Deployment (0/2): No evidence First Industrial deploys AI internally; it is a physical asset owner/operator, not a technology company. Market Share (1/2): First Industrial is a meaningful mid-cap industrial REIT (72.1M sq ft) but is not a scale leader relative to Prologis, EastGroup, or Rexford, and no specific share-gain data was found. Product Pipeline (1/2): FY2026 guidance of 94-95% occupancy and 5.25-6.25% cash same-store NOI growth provides dated visibility, but reflects steady-state operations rather than next-generation product development [1]. R&amp;D Intensity (0/1): Not applicable to a REIT operating model; no R&amp;D spend disclosed.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(1/4): First Industrial's stated mission — to 'create industrial real estate solutions that mutually benefit their customer and their company' — is generic, interchangeable language common to any commercial real estate operator [3]. Community &amp; Charitable Impact (1/2): The company sponsors general corporate philanthropy (Cause Champions volunteer program, Toys for Tots, food bank support, paid volunteer time) but no specific dollar figures or named foundation were found [3]. Employee Retention (0/2): No independent tenure/turnover data was found; Glassdoor reviews citing senior leadership and management as recurring 'cons,' including complaints about limited career progression for women, add uncertainty rather than support [2]. Insider Buying (0/2): Recent Form 4 filings show only routine director/executive equity grants (LP Units under the 2024 Stock Incentive Plan), not open-market purchases; no net insider buying was identified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Dividend-sleeve stock (12 weight units). D/E of 90.03% ($2,584M debt / $2,870M equity) scores 0.91. ROE of 12.69% (TTM net income $364.18M / $2,870M equity) scores 0.85. Revenue Growth YoY of 8.5% scores 0.95. Revenue Growth 5yr CAGR of 10.66% ($476.29M FY2021 to $727.08M FY2025) scores a capped 1.0. Forward P/E of 35.12x scores 0.62. Profit Margin of 47.89% (TTM, boosted by gains on property sales typical of REITs) scores a capped 1.0. Payout Ratio of 72.78% scores 0.45 (1x weight). Consecutive Years Paid (~16, since the dividend policy reset following the 2009 financial-crisis reduction) scores a capped 1.0 (2x weight). Consecutive Years Growth of 13 scores a capped 1.0. 5yr Dividend Growth CAGR (~14%, from $1.18/share in 2022 to $2.00/share currently) scores a capped 1.0 (2x weight) [1][3]. Weighted sum ≈11.79 of max 12 → Infrastructure = 10. Liquidity floor check: 764,046 avg daily volume × $63.39 = $48.4M, far above the $1M floor.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DC2626"/>
          <w:sz w:val="28"/>
        </w:rPr>
        <w:t>1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First Industrial exhibits classic finite-game governance dynamics: a generic, commercially-framed mission with no evidence it shapes major strategic decisions, a live activist campaign explicitly citing entrenched leadership and long director tenures as sources of a valuation discount, and Glassdoor evidence of a low-trust 'boys club' culture — with no offsetting evidence of courage, existential flexibility, or a worthy-rivals mindset.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(1/3): The stated mission — 'create industrial real estate solutions that mutually benefit their customer and their company' — is shallow, interchangeable boilerplate with no evidence it has shaped a distinctive strategic direction beyond standard REIT capital allocation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(0/2): Glassdoor reviews describe senior leadership and management as recurring cons and characterize the company as lacking female representation in upper management with limited career progression for women — direct evidence against a high-trust, psychologically safe organization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(0/1): No management commentary was found framing Prologis, EastGroup, Rexford, or other industrial REIT peers as a source of competitive improvement or motivation.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(0/2): First Industrial has operated the same core develop-lease-manage industrial real estate strategy for decades with no evidence of a fundamental business model pivot; the Rockwell Automation sale-leaseback is routine capital recycling, not strategic reinvention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(0/2): The company incurred $5.6M in advisory costs fighting off (rather than substantively engaging with) an activist campaign that explicitly criticizes board entrenchment and long director tenure, and shareholders re-elected incumbent directors including the chairman targeted by the campaign — evidence of defending the status quo rather than a costly principled stand [1][2].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First Industrial delivered strong fundamentals in 2026: Q2 revenue rose 8.2% YoY to $194.9M, Nareit FFO of $0.82/share beat expectations (up from $0.76 a year ago), cash rental rates on new leases jumped 39%, and management raised full-year FFO guidance to $3.08-$3.16/share [1]. The balance sheet metrics score exceptionally well mechanically — ROE of 12.69%, a 5-year revenue CAGR of 10.66%, and a well-covered dividend (72.78% payout ratio) with 13 consecutive years of dividend growth and a roughly 14% 5-year dividend growth CAGR — and the physical, land-constrained nature of industrial real estate makes the business essentially immune to AI disruption, with warehouse automation trends arguably increasing tenant demand for modern logistics space.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is concentrated in governance and culture rather than fundamentals. Activist investor Land &amp; Buildings has run a contested proxy campaign since March 2026, explicitly criticizing board entrenchment, long director tenure (Chairman Matthew Dominski among the targets), and a persistent valuation discount it attributes to 'trapped value,' and the company has already spent an estimated $5.6M in advisory costs defending the incumbent board rather than substantively addressing the criticism [1]. Glassdoor reviews describing a 'boys club' culture with limited career progression for women, combined with a generic, non-distinctive corporate mission, support a FINITE infinite-game score — this looks like a well-run asset manager optimizing distributions and occupancy rather than a company built around an enduring, differentiated cause. At 35x forward earnings, the stock is not cheap enough to ignore governance overhang risk.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Resolution of the Land &amp; Buildings activist campaign — either through board refreshment/governance reform that narrows the valuation discount, or a clean incumbent win that removes the distraction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Continued strong leasing momentum (39% cash rental rate growth in Q2 2026) as modern logistics facilities capture demand from e-commerce and warehouse-automation tenants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Full-year FFO guidance of $3.08-$3.16/share (raised at the midpoint) being met or exceeded, validating the 94-95% occupancy and 5.25-6.25% same-store NOI growth assumptions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Ongoing activist pressure and governance overhang could persist or escalate if the board does not substantively address criticism of entrenched leadership and long director tenures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Glassdoor evidence of a low-trust, 'boys club' culture with limited career progression for women creates talent-retention and reputational risk for a lean, 152-employee organization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Forward P/E of 35.12x and a 72.78% payout ratio leave less cushion if industrial leasing demand or rental-rate growth decelerates from current strong levels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First Industrial owns and operates physical logistics real estate — a business AI structurally cannot substitute for — and the rise of AI-driven warehouse automation and robotics (its own $152M Rockwell Automation sale-leaseback is a direct example) is increasing, not decreasing, demand for the modern, high-clear-height logistics facilities First Industrial develops [1][2]. No analyst commentary was found suggesting AI threatens the company's leasing or occupancy fundamentals. AI Opportunity (0/1): First Industrial does not itself generate AI-attributable revenue; it benefits indirectly as a landlord to automation/robotics tenants, which does not qualify as direct AI revenue.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42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First Industrial Realty Trust Q1 and Q2 2026 earnings and FFO guidance — PR Newswire, Investing.com, SEC 8-K filings,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Land &amp; Buildings contested proxy campaign coverage — Simply Wall St News, Sahm Capital, SEC DEFA14A filings, March-July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First Industrial Realty Trust culture, mission, and insider trading disclosures — Glassdoor, firstindustrial.com/responsibility, StockTitan Form 4 filings,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stockanalysis.com — FR Key Statistics, Financials, Balance Sheet, Dividend, and Company Overview, accessed August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